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DE4" w:rsidRPr="00077A2C" w:rsidRDefault="00F70DE9" w:rsidP="00784069">
      <w:pPr>
        <w:jc w:val="center"/>
        <w:rPr>
          <w:rFonts w:ascii="Times New Roman" w:hAnsi="Times New Roman" w:cs="Times New Roman"/>
          <w:b/>
          <w:sz w:val="24"/>
          <w:szCs w:val="24"/>
        </w:rPr>
      </w:pPr>
      <w:bookmarkStart w:id="0" w:name="_GoBack"/>
      <w:bookmarkEnd w:id="0"/>
      <w:r w:rsidRPr="00077A2C">
        <w:rPr>
          <w:rFonts w:ascii="Times New Roman" w:hAnsi="Times New Roman" w:cs="Times New Roman"/>
          <w:b/>
          <w:sz w:val="24"/>
          <w:szCs w:val="24"/>
        </w:rPr>
        <w:t xml:space="preserve">Indígenas y participación </w:t>
      </w:r>
      <w:r w:rsidR="00D15205">
        <w:rPr>
          <w:rFonts w:ascii="Times New Roman" w:hAnsi="Times New Roman" w:cs="Times New Roman"/>
          <w:b/>
          <w:sz w:val="24"/>
          <w:szCs w:val="24"/>
        </w:rPr>
        <w:t>en las elecciones de 2012: un análisis</w:t>
      </w:r>
      <w:r w:rsidRPr="00077A2C">
        <w:rPr>
          <w:rFonts w:ascii="Times New Roman" w:hAnsi="Times New Roman" w:cs="Times New Roman"/>
          <w:b/>
          <w:sz w:val="24"/>
          <w:szCs w:val="24"/>
        </w:rPr>
        <w:t xml:space="preserve"> de geografía electoral</w:t>
      </w:r>
    </w:p>
    <w:p w:rsidR="00F70DE9" w:rsidRPr="00077A2C" w:rsidRDefault="00077A2C" w:rsidP="00784069">
      <w:pPr>
        <w:jc w:val="right"/>
        <w:rPr>
          <w:rFonts w:ascii="Times New Roman" w:hAnsi="Times New Roman" w:cs="Times New Roman"/>
          <w:sz w:val="24"/>
          <w:szCs w:val="24"/>
        </w:rPr>
      </w:pPr>
      <w:r w:rsidRPr="00077A2C">
        <w:rPr>
          <w:rFonts w:ascii="Times New Roman" w:hAnsi="Times New Roman" w:cs="Times New Roman"/>
          <w:sz w:val="24"/>
          <w:szCs w:val="24"/>
        </w:rPr>
        <w:t>Gabriel de la Paz y Roberto G. Mostajo</w:t>
      </w:r>
      <w:r w:rsidRPr="00077A2C">
        <w:rPr>
          <w:rStyle w:val="Refdenotaalpie"/>
          <w:rFonts w:ascii="Times New Roman" w:hAnsi="Times New Roman" w:cs="Times New Roman"/>
          <w:sz w:val="24"/>
          <w:szCs w:val="24"/>
        </w:rPr>
        <w:footnoteReference w:id="1"/>
      </w:r>
    </w:p>
    <w:p w:rsidR="00077A2C" w:rsidRPr="00784069" w:rsidRDefault="00077A2C" w:rsidP="00784069">
      <w:pPr>
        <w:jc w:val="both"/>
        <w:rPr>
          <w:rFonts w:ascii="Times New Roman" w:hAnsi="Times New Roman" w:cs="Times New Roman"/>
          <w:i/>
          <w:sz w:val="24"/>
          <w:szCs w:val="24"/>
        </w:rPr>
      </w:pPr>
      <w:r w:rsidRPr="00784069">
        <w:rPr>
          <w:rFonts w:ascii="Times New Roman" w:hAnsi="Times New Roman" w:cs="Times New Roman"/>
          <w:i/>
          <w:sz w:val="24"/>
          <w:szCs w:val="24"/>
        </w:rPr>
        <w:t>Resumen</w:t>
      </w:r>
    </w:p>
    <w:p w:rsidR="00077A2C" w:rsidRDefault="00077A2C" w:rsidP="00784069">
      <w:pPr>
        <w:jc w:val="both"/>
        <w:rPr>
          <w:rFonts w:ascii="Times New Roman" w:hAnsi="Times New Roman" w:cs="Times New Roman"/>
          <w:sz w:val="24"/>
          <w:szCs w:val="24"/>
        </w:rPr>
      </w:pPr>
      <w:r w:rsidRPr="00077A2C">
        <w:rPr>
          <w:rFonts w:ascii="Times New Roman" w:hAnsi="Times New Roman" w:cs="Times New Roman"/>
          <w:sz w:val="24"/>
          <w:szCs w:val="24"/>
        </w:rPr>
        <w:t>Desde su creación, el Instituto Federal Electoral (IFE)</w:t>
      </w:r>
      <w:r>
        <w:rPr>
          <w:rFonts w:ascii="Times New Roman" w:hAnsi="Times New Roman" w:cs="Times New Roman"/>
          <w:sz w:val="24"/>
          <w:szCs w:val="24"/>
        </w:rPr>
        <w:t xml:space="preserve"> ha implementado planes y programas para difundir los principios, valores y prácticas tanto del sistema electoral como de la democracia. Asimismo, ha buscado mediante programas de educación cívica fomentar la participación de las distintas etnias en los procesos electorales y en la política, en general. La estrategia adoptada ha sido rediseñar planes y programas con una visión nacional pero a partir de un enfoque local. En ese sentido, además de las estrategias de educación cívica, </w:t>
      </w:r>
      <w:r w:rsidR="00166914">
        <w:rPr>
          <w:rFonts w:ascii="Times New Roman" w:hAnsi="Times New Roman" w:cs="Times New Roman"/>
          <w:sz w:val="24"/>
          <w:szCs w:val="24"/>
        </w:rPr>
        <w:t xml:space="preserve">destacan las acciones relativas a la </w:t>
      </w:r>
      <w:proofErr w:type="spellStart"/>
      <w:r w:rsidR="00166914">
        <w:rPr>
          <w:rFonts w:ascii="Times New Roman" w:hAnsi="Times New Roman" w:cs="Times New Roman"/>
          <w:sz w:val="24"/>
          <w:szCs w:val="24"/>
        </w:rPr>
        <w:t>distritación</w:t>
      </w:r>
      <w:proofErr w:type="spellEnd"/>
      <w:r w:rsidR="00166914">
        <w:rPr>
          <w:rFonts w:ascii="Times New Roman" w:hAnsi="Times New Roman" w:cs="Times New Roman"/>
          <w:sz w:val="24"/>
          <w:szCs w:val="24"/>
        </w:rPr>
        <w:t>. En 2004, el Consejo General del IFE redefinió la geografía electoral vigente en el ánimo de preserva la integridad territorial de distritos electorales con mayoría de población indígena. Así, 28 de los 300 distritos tienen 40% o más de población indígena. Por todas esas razones, resulta pertinente desarrollar nuevas herramientas que permitan optimizar y hacer más eficiente las estrategias y los programas del IFE para la población indígena.</w:t>
      </w:r>
    </w:p>
    <w:p w:rsidR="00E0553E" w:rsidRDefault="00166914" w:rsidP="00784069">
      <w:pPr>
        <w:jc w:val="both"/>
        <w:rPr>
          <w:rFonts w:ascii="Times New Roman" w:hAnsi="Times New Roman" w:cs="Times New Roman"/>
          <w:sz w:val="24"/>
          <w:szCs w:val="24"/>
        </w:rPr>
      </w:pPr>
      <w:r>
        <w:rPr>
          <w:rFonts w:ascii="Times New Roman" w:hAnsi="Times New Roman" w:cs="Times New Roman"/>
          <w:sz w:val="24"/>
          <w:szCs w:val="24"/>
        </w:rPr>
        <w:t xml:space="preserve">La ponencia presenta los resultados de un proyecto de geografía electoral desarrollado en </w:t>
      </w:r>
      <w:proofErr w:type="spellStart"/>
      <w:r>
        <w:rPr>
          <w:rFonts w:ascii="Times New Roman" w:hAnsi="Times New Roman" w:cs="Times New Roman"/>
          <w:sz w:val="24"/>
          <w:szCs w:val="24"/>
        </w:rPr>
        <w:t>Arc</w:t>
      </w:r>
      <w:proofErr w:type="spellEnd"/>
      <w:r>
        <w:rPr>
          <w:rFonts w:ascii="Times New Roman" w:hAnsi="Times New Roman" w:cs="Times New Roman"/>
          <w:sz w:val="24"/>
          <w:szCs w:val="24"/>
        </w:rPr>
        <w:t xml:space="preserve"> View referente a </w:t>
      </w:r>
      <w:r w:rsidR="00E0553E">
        <w:rPr>
          <w:rFonts w:ascii="Times New Roman" w:hAnsi="Times New Roman" w:cs="Times New Roman"/>
          <w:sz w:val="24"/>
          <w:szCs w:val="24"/>
        </w:rPr>
        <w:t xml:space="preserve">la participación de los indígenas en la política. Se mostrarán diversos mapas que relacionan variables político-electorales de interés (participación, abstencionismo, preferencias) con la etnia a la que se pertenece, la lengua que se habla y otras variables socioeconómicas relevantes (sexo, edad, grado de escolaridad, nivel de ingreso, índice de marginación, condición urbana o rural). De manera adicional, y con un interés especial, se presentará un mapa de la diversidad lingüística de México por </w:t>
      </w:r>
      <w:r w:rsidR="00E22997">
        <w:rPr>
          <w:rFonts w:ascii="Times New Roman" w:hAnsi="Times New Roman" w:cs="Times New Roman"/>
          <w:sz w:val="24"/>
          <w:szCs w:val="24"/>
        </w:rPr>
        <w:t>distrito y por sección electoral.</w:t>
      </w:r>
    </w:p>
    <w:p w:rsidR="00E22997" w:rsidRDefault="00E22997" w:rsidP="00784069">
      <w:pPr>
        <w:jc w:val="both"/>
        <w:rPr>
          <w:rFonts w:ascii="Times New Roman" w:hAnsi="Times New Roman" w:cs="Times New Roman"/>
          <w:sz w:val="24"/>
          <w:szCs w:val="24"/>
        </w:rPr>
      </w:pPr>
      <w:r>
        <w:rPr>
          <w:rFonts w:ascii="Times New Roman" w:hAnsi="Times New Roman" w:cs="Times New Roman"/>
          <w:sz w:val="24"/>
          <w:szCs w:val="24"/>
        </w:rPr>
        <w:t>Todo ello, además de precisar la condición de los indígenas en el territorio nacional, coadyuvará a entender mejor los mecanismos y resortes de la participación de los indígenas en los procesos electorales, permitiendo diferenciar mejor aquello que es propio del mundo indígena de las variables que los asemejan a otros grupos poblacionales.</w:t>
      </w:r>
      <w:r w:rsidR="00784069">
        <w:rPr>
          <w:rFonts w:ascii="Times New Roman" w:hAnsi="Times New Roman" w:cs="Times New Roman"/>
          <w:sz w:val="24"/>
          <w:szCs w:val="24"/>
        </w:rPr>
        <w:t xml:space="preserve"> En todos los casos, el despliegue de la información como mapa </w:t>
      </w:r>
      <w:proofErr w:type="spellStart"/>
      <w:r w:rsidR="00784069">
        <w:rPr>
          <w:rFonts w:ascii="Times New Roman" w:hAnsi="Times New Roman" w:cs="Times New Roman"/>
          <w:sz w:val="24"/>
          <w:szCs w:val="24"/>
        </w:rPr>
        <w:t>georreferencial</w:t>
      </w:r>
      <w:proofErr w:type="spellEnd"/>
      <w:r w:rsidR="00784069">
        <w:rPr>
          <w:rFonts w:ascii="Times New Roman" w:hAnsi="Times New Roman" w:cs="Times New Roman"/>
          <w:sz w:val="24"/>
          <w:szCs w:val="24"/>
        </w:rPr>
        <w:t xml:space="preserve"> le permitirá a la comunidad académica identificar mejor patrones de comportamiento de variables relevantes. Por su parte, al IFE le permitirá darle otra dimensión a los planes y programas destinados a la población indígena, lo que redundará en una mayor efectividad de sus políticas.</w:t>
      </w:r>
    </w:p>
    <w:p w:rsidR="00784069" w:rsidRPr="00077A2C" w:rsidRDefault="00784069" w:rsidP="00784069">
      <w:pPr>
        <w:jc w:val="both"/>
        <w:rPr>
          <w:rFonts w:ascii="Times New Roman" w:hAnsi="Times New Roman" w:cs="Times New Roman"/>
          <w:sz w:val="24"/>
          <w:szCs w:val="24"/>
        </w:rPr>
      </w:pPr>
      <w:r>
        <w:rPr>
          <w:rFonts w:ascii="Times New Roman" w:hAnsi="Times New Roman" w:cs="Times New Roman"/>
          <w:sz w:val="24"/>
          <w:szCs w:val="24"/>
        </w:rPr>
        <w:t>La ponencia se presentará como un caso que permite apreciar las potencialidades de las herramientas tecnológicas ligadas a la geografía electoral y a la presentación de información electoral en formatos espaciales.</w:t>
      </w:r>
    </w:p>
    <w:sectPr w:rsidR="00784069" w:rsidRPr="00077A2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6E9" w:rsidRDefault="003E16E9" w:rsidP="00077A2C">
      <w:pPr>
        <w:spacing w:after="0" w:line="240" w:lineRule="auto"/>
      </w:pPr>
      <w:r>
        <w:separator/>
      </w:r>
    </w:p>
  </w:endnote>
  <w:endnote w:type="continuationSeparator" w:id="0">
    <w:p w:rsidR="003E16E9" w:rsidRDefault="003E16E9" w:rsidP="00077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6E9" w:rsidRDefault="003E16E9" w:rsidP="00077A2C">
      <w:pPr>
        <w:spacing w:after="0" w:line="240" w:lineRule="auto"/>
      </w:pPr>
      <w:r>
        <w:separator/>
      </w:r>
    </w:p>
  </w:footnote>
  <w:footnote w:type="continuationSeparator" w:id="0">
    <w:p w:rsidR="003E16E9" w:rsidRDefault="003E16E9" w:rsidP="00077A2C">
      <w:pPr>
        <w:spacing w:after="0" w:line="240" w:lineRule="auto"/>
      </w:pPr>
      <w:r>
        <w:continuationSeparator/>
      </w:r>
    </w:p>
  </w:footnote>
  <w:footnote w:id="1">
    <w:p w:rsidR="00077A2C" w:rsidRPr="00077A2C" w:rsidRDefault="00077A2C">
      <w:pPr>
        <w:pStyle w:val="Textonotapie"/>
        <w:rPr>
          <w:rFonts w:ascii="Times New Roman" w:hAnsi="Times New Roman" w:cs="Times New Roman"/>
        </w:rPr>
      </w:pPr>
      <w:r w:rsidRPr="00077A2C">
        <w:rPr>
          <w:rStyle w:val="Refdenotaalpie"/>
          <w:rFonts w:ascii="Times New Roman" w:hAnsi="Times New Roman" w:cs="Times New Roman"/>
        </w:rPr>
        <w:footnoteRef/>
      </w:r>
      <w:r w:rsidRPr="00077A2C">
        <w:rPr>
          <w:rFonts w:ascii="Times New Roman" w:hAnsi="Times New Roman" w:cs="Times New Roman"/>
        </w:rPr>
        <w:t xml:space="preserve"> Director de Desarrollo Institucional y Subdirector de Análisis, respectivamente, del Centro para el Desarrollo Democrático (IFE).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DE9"/>
    <w:rsid w:val="00077A2C"/>
    <w:rsid w:val="00166914"/>
    <w:rsid w:val="003E16E9"/>
    <w:rsid w:val="0044415A"/>
    <w:rsid w:val="005A5969"/>
    <w:rsid w:val="00784069"/>
    <w:rsid w:val="00806DE4"/>
    <w:rsid w:val="00D027D5"/>
    <w:rsid w:val="00D15205"/>
    <w:rsid w:val="00D56E67"/>
    <w:rsid w:val="00E0553E"/>
    <w:rsid w:val="00E22997"/>
    <w:rsid w:val="00F70DE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77A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77A2C"/>
    <w:rPr>
      <w:sz w:val="20"/>
      <w:szCs w:val="20"/>
    </w:rPr>
  </w:style>
  <w:style w:type="character" w:styleId="Refdenotaalpie">
    <w:name w:val="footnote reference"/>
    <w:basedOn w:val="Fuentedeprrafopredeter"/>
    <w:uiPriority w:val="99"/>
    <w:semiHidden/>
    <w:unhideWhenUsed/>
    <w:rsid w:val="00077A2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77A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77A2C"/>
    <w:rPr>
      <w:sz w:val="20"/>
      <w:szCs w:val="20"/>
    </w:rPr>
  </w:style>
  <w:style w:type="character" w:styleId="Refdenotaalpie">
    <w:name w:val="footnote reference"/>
    <w:basedOn w:val="Fuentedeprrafopredeter"/>
    <w:uiPriority w:val="99"/>
    <w:semiHidden/>
    <w:unhideWhenUsed/>
    <w:rsid w:val="00077A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84D36-8DF3-44DB-8988-A5B1AEC42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2317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dc:creator>
  <cp:lastModifiedBy>IFE</cp:lastModifiedBy>
  <cp:revision>2</cp:revision>
  <cp:lastPrinted>2012-08-04T00:05:00Z</cp:lastPrinted>
  <dcterms:created xsi:type="dcterms:W3CDTF">2012-08-06T17:20:00Z</dcterms:created>
  <dcterms:modified xsi:type="dcterms:W3CDTF">2012-08-06T17:20:00Z</dcterms:modified>
</cp:coreProperties>
</file>