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7A5" w:rsidRDefault="00E637A5" w:rsidP="00E637A5">
      <w:pPr>
        <w:rPr>
          <w:rFonts w:ascii="Arial" w:hAnsi="Arial" w:cs="Arial"/>
          <w:sz w:val="24"/>
          <w:szCs w:val="24"/>
        </w:rPr>
      </w:pPr>
    </w:p>
    <w:p w:rsidR="00E637A5" w:rsidRDefault="00E637A5" w:rsidP="00E637A5">
      <w:pPr>
        <w:rPr>
          <w:rFonts w:ascii="Arial" w:hAnsi="Arial" w:cs="Arial"/>
          <w:sz w:val="24"/>
          <w:szCs w:val="24"/>
        </w:rPr>
      </w:pPr>
    </w:p>
    <w:p w:rsidR="00E637A5" w:rsidRDefault="00E637A5" w:rsidP="00E637A5">
      <w:pPr>
        <w:rPr>
          <w:rFonts w:ascii="Arial" w:hAnsi="Arial" w:cs="Arial"/>
          <w:sz w:val="24"/>
          <w:szCs w:val="24"/>
        </w:rPr>
      </w:pPr>
    </w:p>
    <w:p w:rsidR="00B7147B" w:rsidRDefault="00B7147B" w:rsidP="00B7147B">
      <w:pPr>
        <w:pStyle w:val="Default"/>
        <w:jc w:val="center"/>
        <w:rPr>
          <w:sz w:val="23"/>
          <w:szCs w:val="23"/>
        </w:rPr>
      </w:pPr>
      <w:r>
        <w:rPr>
          <w:rFonts w:ascii="Tahoma" w:hAnsi="Tahoma" w:cs="Tahoma"/>
          <w:color w:val="333333"/>
          <w:sz w:val="17"/>
          <w:szCs w:val="17"/>
          <w:lang w:val="es-ES"/>
        </w:rPr>
        <w:t>XXIII Congreso Nacional de Estudios Electorales</w:t>
      </w:r>
    </w:p>
    <w:p w:rsidR="00E637A5" w:rsidRDefault="00E637A5" w:rsidP="00B7147B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Mesa 1. Sistemas electorales, reformas y justicia electoral</w:t>
      </w:r>
    </w:p>
    <w:p w:rsidR="00B7147B" w:rsidRDefault="00B7147B" w:rsidP="00E637A5">
      <w:pPr>
        <w:rPr>
          <w:rFonts w:ascii="Arial" w:hAnsi="Arial" w:cs="Arial"/>
          <w:sz w:val="24"/>
          <w:szCs w:val="24"/>
        </w:rPr>
      </w:pPr>
    </w:p>
    <w:p w:rsidR="00E637A5" w:rsidRPr="00B7147B" w:rsidRDefault="00B7147B" w:rsidP="00B7147B">
      <w:pPr>
        <w:jc w:val="center"/>
        <w:rPr>
          <w:rFonts w:ascii="Arial" w:hAnsi="Arial" w:cs="Arial"/>
          <w:b/>
          <w:sz w:val="24"/>
          <w:szCs w:val="24"/>
        </w:rPr>
      </w:pPr>
      <w:r w:rsidRPr="00B7147B">
        <w:rPr>
          <w:rFonts w:ascii="Arial" w:hAnsi="Arial" w:cs="Arial"/>
          <w:b/>
          <w:sz w:val="24"/>
          <w:szCs w:val="24"/>
        </w:rPr>
        <w:t>Reforma electoral en Tlaxcala</w:t>
      </w:r>
    </w:p>
    <w:p w:rsidR="00E637A5" w:rsidRDefault="00B7147B" w:rsidP="00B7147B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Pablo Castañeda Araujo</w:t>
      </w:r>
      <w:r>
        <w:rPr>
          <w:rStyle w:val="Refdenotaalpie"/>
          <w:rFonts w:ascii="Arial" w:hAnsi="Arial" w:cs="Arial"/>
          <w:sz w:val="24"/>
          <w:szCs w:val="24"/>
        </w:rPr>
        <w:footnoteReference w:id="1"/>
      </w:r>
    </w:p>
    <w:p w:rsidR="00B7147B" w:rsidRDefault="00B7147B" w:rsidP="00B7147B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Edith Salazar De Gante</w:t>
      </w:r>
      <w:r>
        <w:rPr>
          <w:rStyle w:val="Refdenotaalpie"/>
          <w:rFonts w:ascii="Arial" w:hAnsi="Arial" w:cs="Arial"/>
          <w:sz w:val="24"/>
          <w:szCs w:val="24"/>
        </w:rPr>
        <w:footnoteReference w:id="2"/>
      </w:r>
    </w:p>
    <w:p w:rsidR="00E637A5" w:rsidRPr="00412339" w:rsidRDefault="00E637A5" w:rsidP="00B7147B">
      <w:pPr>
        <w:spacing w:line="240" w:lineRule="auto"/>
        <w:rPr>
          <w:rFonts w:ascii="Arial" w:hAnsi="Arial" w:cs="Arial"/>
          <w:sz w:val="24"/>
          <w:szCs w:val="24"/>
        </w:rPr>
      </w:pPr>
      <w:r w:rsidRPr="00412339">
        <w:rPr>
          <w:rFonts w:ascii="Arial" w:hAnsi="Arial" w:cs="Arial"/>
          <w:sz w:val="24"/>
          <w:szCs w:val="24"/>
        </w:rPr>
        <w:t xml:space="preserve">En el año 2003 –producto de la reforma a la Constitución Política del Estado de Tlaxcala- </w:t>
      </w:r>
      <w:r>
        <w:rPr>
          <w:rFonts w:ascii="Arial" w:hAnsi="Arial" w:cs="Arial"/>
          <w:sz w:val="24"/>
          <w:szCs w:val="24"/>
        </w:rPr>
        <w:t>el Congreso del estado aprueba</w:t>
      </w:r>
      <w:r w:rsidRPr="00412339">
        <w:rPr>
          <w:rFonts w:ascii="Arial" w:hAnsi="Arial" w:cs="Arial"/>
          <w:sz w:val="24"/>
          <w:szCs w:val="24"/>
        </w:rPr>
        <w:t xml:space="preserve"> el “Código de Instituciones y Procedimientos Electorales para el Estado de Tlaxcala” (CIPEET), mismo que </w:t>
      </w:r>
      <w:r>
        <w:rPr>
          <w:rFonts w:ascii="Arial" w:hAnsi="Arial" w:cs="Arial"/>
          <w:sz w:val="24"/>
          <w:szCs w:val="24"/>
        </w:rPr>
        <w:t>es publicado</w:t>
      </w:r>
      <w:r w:rsidRPr="00412339">
        <w:rPr>
          <w:rFonts w:ascii="Arial" w:hAnsi="Arial" w:cs="Arial"/>
          <w:sz w:val="24"/>
          <w:szCs w:val="24"/>
        </w:rPr>
        <w:t xml:space="preserve"> en noviembre de ese año y modificado en febrero de 2004. Esta reforma fue producto de un conjunto de negociaciones que ponían atención a problemas del momento político de la entidad, debido a que la ley de 1994 había sido rebasada por la realidad política que vivía Tlaxcala en ese tiempo</w:t>
      </w:r>
      <w:r>
        <w:rPr>
          <w:rFonts w:ascii="Arial" w:hAnsi="Arial" w:cs="Arial"/>
          <w:sz w:val="24"/>
          <w:szCs w:val="24"/>
        </w:rPr>
        <w:t>.</w:t>
      </w:r>
      <w:r w:rsidRPr="00412339">
        <w:rPr>
          <w:rFonts w:ascii="Arial" w:hAnsi="Arial" w:cs="Arial"/>
          <w:sz w:val="24"/>
          <w:szCs w:val="24"/>
        </w:rPr>
        <w:t xml:space="preserve"> </w:t>
      </w:r>
    </w:p>
    <w:p w:rsidR="00E637A5" w:rsidRDefault="00E637A5" w:rsidP="00B7147B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412339">
        <w:rPr>
          <w:rFonts w:ascii="Arial" w:hAnsi="Arial" w:cs="Arial"/>
          <w:sz w:val="24"/>
          <w:szCs w:val="24"/>
        </w:rPr>
        <w:t>De hecho, la reforma de 2003 se puede considerar una modificación de fondo, y que presentó grandes innovaciones –como lo veremos en el desarrollo de este trabajo-  a diferencia de la realizada en el año 2008 derivada de los cambios que en  materia electoral existieron a nivel federal en el año 2007, cuando se reformaron</w:t>
      </w:r>
      <w:r>
        <w:rPr>
          <w:rFonts w:ascii="Arial" w:hAnsi="Arial" w:cs="Arial"/>
          <w:sz w:val="24"/>
          <w:szCs w:val="24"/>
        </w:rPr>
        <w:t xml:space="preserve"> varios artículos </w:t>
      </w:r>
      <w:r w:rsidRPr="00412339">
        <w:rPr>
          <w:rFonts w:ascii="Arial" w:hAnsi="Arial" w:cs="Arial"/>
          <w:sz w:val="24"/>
          <w:szCs w:val="24"/>
        </w:rPr>
        <w:t>de la Constitución Política de los Estados Unidos Mexicanos</w:t>
      </w:r>
      <w:r>
        <w:rPr>
          <w:rFonts w:ascii="Arial" w:hAnsi="Arial" w:cs="Arial"/>
          <w:sz w:val="24"/>
          <w:szCs w:val="24"/>
        </w:rPr>
        <w:t>.</w:t>
      </w:r>
    </w:p>
    <w:p w:rsidR="00E637A5" w:rsidRPr="00412339" w:rsidRDefault="00E637A5" w:rsidP="00B7147B">
      <w:pPr>
        <w:spacing w:line="24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Siguiendo a </w:t>
      </w:r>
      <w:proofErr w:type="spellStart"/>
      <w:r>
        <w:rPr>
          <w:rFonts w:ascii="Arial" w:hAnsi="Arial" w:cs="Arial"/>
          <w:sz w:val="24"/>
          <w:szCs w:val="24"/>
        </w:rPr>
        <w:t>Nohlen</w:t>
      </w:r>
      <w:proofErr w:type="spellEnd"/>
      <w:r>
        <w:rPr>
          <w:rFonts w:ascii="Arial" w:hAnsi="Arial" w:cs="Arial"/>
          <w:sz w:val="24"/>
          <w:szCs w:val="24"/>
        </w:rPr>
        <w:t xml:space="preserve"> (2008) y Casar (2007), entendemos por</w:t>
      </w:r>
      <w:r w:rsidRPr="00412339">
        <w:rPr>
          <w:rFonts w:ascii="Arial" w:hAnsi="Arial" w:cs="Arial"/>
          <w:sz w:val="24"/>
          <w:szCs w:val="24"/>
        </w:rPr>
        <w:t xml:space="preserve"> reforma electoral</w:t>
      </w:r>
      <w:r>
        <w:rPr>
          <w:rFonts w:ascii="Arial" w:hAnsi="Arial" w:cs="Arial"/>
          <w:sz w:val="24"/>
          <w:szCs w:val="24"/>
        </w:rPr>
        <w:t xml:space="preserve"> al proceso a través del cual se sustituye, rediseña o modifica al conjunto de reglas relativas a los sistemas de gobierno, electoral, partidos políticos y las formas de participación ciudadana en la toma de decisiones (a través del voto); y </w:t>
      </w:r>
      <w:r w:rsidRPr="00412339">
        <w:rPr>
          <w:rFonts w:ascii="Arial" w:hAnsi="Arial" w:cs="Arial"/>
          <w:sz w:val="24"/>
          <w:szCs w:val="24"/>
        </w:rPr>
        <w:t>se inscribe en un proceso más amplio denominado refo</w:t>
      </w:r>
      <w:r>
        <w:rPr>
          <w:rFonts w:ascii="Arial" w:hAnsi="Arial" w:cs="Arial"/>
          <w:sz w:val="24"/>
          <w:szCs w:val="24"/>
        </w:rPr>
        <w:t>rma política, pues</w:t>
      </w:r>
      <w:r w:rsidRPr="00412339">
        <w:rPr>
          <w:rFonts w:ascii="Arial" w:hAnsi="Arial" w:cs="Arial"/>
          <w:sz w:val="24"/>
          <w:szCs w:val="24"/>
        </w:rPr>
        <w:t xml:space="preserve"> posee un peso específico que tiene que ser valorado por sus nulidades y consecuencias positivas o negativas. Esto es, qué tan funcional y aplicable es, cómo y hasta qué punto responde a la realidad político social del momento.</w:t>
      </w:r>
    </w:p>
    <w:p w:rsidR="00E637A5" w:rsidRPr="00EC1995" w:rsidRDefault="00B7147B" w:rsidP="00B7147B">
      <w:pPr>
        <w:spacing w:line="240" w:lineRule="auto"/>
        <w:ind w:firstLine="709"/>
        <w:rPr>
          <w:rFonts w:ascii="Arial" w:hAnsi="Arial" w:cs="Arial"/>
          <w:sz w:val="24"/>
          <w:szCs w:val="24"/>
          <w:lang w:val="es-ES_tradnl"/>
        </w:rPr>
      </w:pPr>
      <w:r w:rsidRPr="00B7147B">
        <w:rPr>
          <w:rFonts w:ascii="Arial" w:hAnsi="Arial" w:cs="Arial"/>
          <w:bCs/>
          <w:sz w:val="24"/>
          <w:szCs w:val="24"/>
        </w:rPr>
        <w:t>En esta ponencia se parte</w:t>
      </w:r>
      <w:r>
        <w:rPr>
          <w:rFonts w:ascii="Arial" w:hAnsi="Arial" w:cs="Arial"/>
          <w:bCs/>
          <w:sz w:val="24"/>
          <w:szCs w:val="24"/>
        </w:rPr>
        <w:t xml:space="preserve"> de la</w:t>
      </w:r>
      <w:r w:rsidR="00E637A5">
        <w:rPr>
          <w:rFonts w:ascii="Arial" w:hAnsi="Arial" w:cs="Arial"/>
          <w:bCs/>
          <w:sz w:val="24"/>
          <w:szCs w:val="24"/>
        </w:rPr>
        <w:t xml:space="preserve"> descripción de los sistemas electoral y de partidos en Tlaxcala, continuando con los antecedentes de la reforma en cuestión, los principales actores políticos, los puntos problemáticos en la reforma, así como la aplicación y resultados de la reforma. Todo ello, </w:t>
      </w:r>
      <w:r w:rsidR="00E637A5" w:rsidRPr="00412339">
        <w:rPr>
          <w:rFonts w:ascii="Arial" w:hAnsi="Arial" w:cs="Arial"/>
          <w:bCs/>
          <w:sz w:val="24"/>
          <w:szCs w:val="24"/>
        </w:rPr>
        <w:t>a partir de los testimonios de los entrevistados, la revi</w:t>
      </w:r>
      <w:r w:rsidR="00E637A5">
        <w:rPr>
          <w:rFonts w:ascii="Arial" w:hAnsi="Arial" w:cs="Arial"/>
          <w:bCs/>
          <w:sz w:val="24"/>
          <w:szCs w:val="24"/>
        </w:rPr>
        <w:t xml:space="preserve">sión </w:t>
      </w:r>
      <w:proofErr w:type="spellStart"/>
      <w:r w:rsidR="00E637A5">
        <w:rPr>
          <w:rFonts w:ascii="Arial" w:hAnsi="Arial" w:cs="Arial"/>
          <w:bCs/>
          <w:sz w:val="24"/>
          <w:szCs w:val="24"/>
        </w:rPr>
        <w:t>hemerográfica</w:t>
      </w:r>
      <w:proofErr w:type="spellEnd"/>
      <w:r w:rsidR="00E637A5">
        <w:rPr>
          <w:rFonts w:ascii="Arial" w:hAnsi="Arial" w:cs="Arial"/>
          <w:bCs/>
          <w:sz w:val="24"/>
          <w:szCs w:val="24"/>
        </w:rPr>
        <w:t xml:space="preserve"> y el análisis de los documentos oficiales. </w:t>
      </w:r>
    </w:p>
    <w:p w:rsidR="00C6537F" w:rsidRPr="00E637A5" w:rsidRDefault="00C6537F" w:rsidP="00B7147B">
      <w:pPr>
        <w:spacing w:line="240" w:lineRule="auto"/>
        <w:rPr>
          <w:lang w:val="es-ES_tradnl"/>
        </w:rPr>
      </w:pPr>
    </w:p>
    <w:sectPr w:rsidR="00C6537F" w:rsidRPr="00E637A5" w:rsidSect="00C653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660" w:rsidRDefault="007E3660" w:rsidP="00B7147B">
      <w:pPr>
        <w:spacing w:line="240" w:lineRule="auto"/>
      </w:pPr>
      <w:r>
        <w:separator/>
      </w:r>
    </w:p>
  </w:endnote>
  <w:endnote w:type="continuationSeparator" w:id="0">
    <w:p w:rsidR="007E3660" w:rsidRDefault="007E3660" w:rsidP="00B7147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660" w:rsidRDefault="007E3660" w:rsidP="00B7147B">
      <w:pPr>
        <w:spacing w:line="240" w:lineRule="auto"/>
      </w:pPr>
      <w:r>
        <w:separator/>
      </w:r>
    </w:p>
  </w:footnote>
  <w:footnote w:type="continuationSeparator" w:id="0">
    <w:p w:rsidR="007E3660" w:rsidRDefault="007E3660" w:rsidP="00B7147B">
      <w:pPr>
        <w:spacing w:line="240" w:lineRule="auto"/>
      </w:pPr>
      <w:r>
        <w:continuationSeparator/>
      </w:r>
    </w:p>
  </w:footnote>
  <w:footnote w:id="1">
    <w:p w:rsidR="00B7147B" w:rsidRDefault="00B7147B">
      <w:pPr>
        <w:pStyle w:val="Textonotapie"/>
      </w:pPr>
      <w:r>
        <w:rPr>
          <w:rStyle w:val="Refdenotaalpie"/>
        </w:rPr>
        <w:footnoteRef/>
      </w:r>
      <w:r>
        <w:t xml:space="preserve"> Politólogo, Maestro en Ciencias Sociales, profesor de la Universidad Autónoma de Tlaxcala y de la Benemérita Universidad Autónoma de Puebla. </w:t>
      </w:r>
      <w:hyperlink r:id="rId1" w:history="1">
        <w:r w:rsidRPr="00A00918">
          <w:rPr>
            <w:rStyle w:val="Hipervnculo"/>
          </w:rPr>
          <w:t>pablo6912@hotmail.com</w:t>
        </w:r>
      </w:hyperlink>
      <w:r>
        <w:t xml:space="preserve"> </w:t>
      </w:r>
    </w:p>
  </w:footnote>
  <w:footnote w:id="2">
    <w:p w:rsidR="00B7147B" w:rsidRDefault="00B7147B">
      <w:pPr>
        <w:pStyle w:val="Textonotapie"/>
      </w:pPr>
      <w:r>
        <w:rPr>
          <w:rStyle w:val="Refdenotaalpie"/>
        </w:rPr>
        <w:footnoteRef/>
      </w:r>
      <w:r>
        <w:t xml:space="preserve"> Socióloga, Maestra en Ciencias Sociales, docente de la Universidad Autónoma de Tlaxcala. </w:t>
      </w:r>
      <w:hyperlink r:id="rId2" w:history="1">
        <w:r w:rsidRPr="00A00918">
          <w:rPr>
            <w:rStyle w:val="Hipervnculo"/>
          </w:rPr>
          <w:t>edithsa.degante@yahoo.com.mx</w:t>
        </w:r>
      </w:hyperlink>
      <w:r>
        <w:t xml:space="preserve">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37A5"/>
    <w:rsid w:val="007E3660"/>
    <w:rsid w:val="009F4BE3"/>
    <w:rsid w:val="00B7147B"/>
    <w:rsid w:val="00B803AC"/>
    <w:rsid w:val="00B93449"/>
    <w:rsid w:val="00C6537F"/>
    <w:rsid w:val="00E63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7A5"/>
    <w:pPr>
      <w:spacing w:after="0" w:line="360" w:lineRule="auto"/>
      <w:jc w:val="both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637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7147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7147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7147B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B714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edithsa.degante@yahoo.com.mx" TargetMode="External"/><Relationship Id="rId1" Type="http://schemas.openxmlformats.org/officeDocument/2006/relationships/hyperlink" Target="mailto:pablo6912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6CCE9B-E62D-4185-893D-F84853CB6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330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Edith Salazar</dc:creator>
  <cp:lastModifiedBy>Edith Salazar</cp:lastModifiedBy>
  <cp:revision>1</cp:revision>
  <dcterms:created xsi:type="dcterms:W3CDTF">2012-08-11T03:08:00Z</dcterms:created>
  <dcterms:modified xsi:type="dcterms:W3CDTF">2012-08-11T03:25:00Z</dcterms:modified>
</cp:coreProperties>
</file>