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0488" w:rsidRPr="000B2886" w:rsidRDefault="000853A7" w:rsidP="000B2886">
      <w:pPr>
        <w:jc w:val="center"/>
        <w:rPr>
          <w:b/>
          <w:sz w:val="24"/>
          <w:szCs w:val="24"/>
        </w:rPr>
      </w:pPr>
      <w:bookmarkStart w:id="0" w:name="_GoBack"/>
      <w:r w:rsidRPr="000B2886">
        <w:rPr>
          <w:b/>
          <w:sz w:val="24"/>
          <w:szCs w:val="24"/>
        </w:rPr>
        <w:t>Las encuestas y los conteos en las sentencias del Tribunal Electoral</w:t>
      </w:r>
    </w:p>
    <w:bookmarkEnd w:id="0"/>
    <w:p w:rsidR="000853A7" w:rsidRDefault="000853A7" w:rsidP="000853A7">
      <w:pPr>
        <w:jc w:val="both"/>
        <w:rPr>
          <w:sz w:val="24"/>
          <w:szCs w:val="24"/>
        </w:rPr>
      </w:pPr>
      <w:r>
        <w:rPr>
          <w:sz w:val="24"/>
          <w:szCs w:val="24"/>
        </w:rPr>
        <w:t>Por Luis Eduardo Medina Torres, Investigador del CCJE</w:t>
      </w:r>
    </w:p>
    <w:p w:rsidR="000853A7" w:rsidRPr="000853A7" w:rsidRDefault="000853A7" w:rsidP="000853A7">
      <w:pPr>
        <w:jc w:val="both"/>
        <w:rPr>
          <w:sz w:val="24"/>
          <w:szCs w:val="24"/>
        </w:rPr>
      </w:pPr>
      <w:r w:rsidRPr="000853A7">
        <w:rPr>
          <w:sz w:val="24"/>
          <w:szCs w:val="24"/>
        </w:rPr>
        <w:t>En el proceso electoral federal del 2012 uno de los temas que fueron controversiales giró alrededor de la difusión de encuestas de preferencias electorales y de los sondeos de opinión. De hecho, el Tribunal ordenó corregir el acuerdo mediante el cual el IFE realizó su conteo rápido después de la impugnación presentada por la coalición Movimiento Progresista. Esta misma coalición en el juicio de inconformidad general que impugnó la elección presidencial, planteó un agravio respecto a la influencia de las encuestas en las pautas de votación.</w:t>
      </w:r>
    </w:p>
    <w:p w:rsidR="000853A7" w:rsidRPr="000853A7" w:rsidRDefault="000853A7" w:rsidP="000853A7">
      <w:pPr>
        <w:jc w:val="both"/>
        <w:rPr>
          <w:sz w:val="24"/>
          <w:szCs w:val="24"/>
        </w:rPr>
      </w:pPr>
      <w:r w:rsidRPr="000853A7">
        <w:rPr>
          <w:sz w:val="24"/>
          <w:szCs w:val="24"/>
        </w:rPr>
        <w:t xml:space="preserve">Esta ponencia tiene como propósito estudiar las respuestas que dio la autoridad jurisdiccional a las demandas de los partidos que impugnaron la difusión de encuestas, conteos y sondeos; para esto, primero, se plantea un acercamiento conceptual a los instrumentos de opinión pública, en segundo término se revisa el marco normativo, en tercer lugar se estudian las demandas de los partidos y las sentencias del Tribunal Electoral para finalizar con unas conclusiones generales. </w:t>
      </w:r>
    </w:p>
    <w:sectPr w:rsidR="000853A7" w:rsidRPr="000853A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3A7"/>
    <w:rsid w:val="000853A7"/>
    <w:rsid w:val="000B2886"/>
    <w:rsid w:val="00320488"/>
    <w:rsid w:val="009971B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176</Words>
  <Characters>971</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Eduardo Medina Torres</dc:creator>
  <cp:lastModifiedBy>Cecilia Aída Hernández Cruz</cp:lastModifiedBy>
  <cp:revision>3</cp:revision>
  <dcterms:created xsi:type="dcterms:W3CDTF">2012-08-13T15:03:00Z</dcterms:created>
  <dcterms:modified xsi:type="dcterms:W3CDTF">2012-08-16T20:08:00Z</dcterms:modified>
</cp:coreProperties>
</file>