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E01" w:rsidRPr="00336E01" w:rsidRDefault="00336E01" w:rsidP="002F1CE9">
      <w:pPr>
        <w:pStyle w:val="Default"/>
        <w:spacing w:after="480" w:line="360" w:lineRule="auto"/>
        <w:jc w:val="center"/>
        <w:rPr>
          <w:b/>
          <w:bCs/>
        </w:rPr>
      </w:pPr>
      <w:r w:rsidRPr="00336E01">
        <w:rPr>
          <w:b/>
          <w:bCs/>
        </w:rPr>
        <w:t>Análisis comparado de las elecciones coincidentes de Campeche y Colima</w:t>
      </w:r>
      <w:r>
        <w:rPr>
          <w:b/>
          <w:bCs/>
        </w:rPr>
        <w:t>, 2012</w:t>
      </w:r>
    </w:p>
    <w:p w:rsidR="00336E01" w:rsidRPr="002F1CE9" w:rsidRDefault="00A12DAB" w:rsidP="0082254F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Esta</w:t>
      </w:r>
      <w:r w:rsidR="00336E01" w:rsidRPr="002F1CE9">
        <w:rPr>
          <w:rFonts w:ascii="Times New Roman" w:hAnsi="Times New Roman" w:cs="Times New Roman"/>
          <w:sz w:val="24"/>
          <w:szCs w:val="24"/>
        </w:rPr>
        <w:t xml:space="preserve"> investigación analiza el costo de las elecciones locales de Campeche y Colima, las cuales coinciden con las elecciones federales. Es un análisis comparado de dos procesos electorales locales, mediante un estudio de dos modelos diferentes sobre la integración y funcionamiento de mesas directivas de casilla. Los casos de estudio son Campeche, donde se instalan dos casillas; y el estado de Colima, en el cual se instala casilla única.</w:t>
      </w:r>
    </w:p>
    <w:p w:rsidR="00336E01" w:rsidRPr="002F1CE9" w:rsidRDefault="00336E01" w:rsidP="0082254F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1CE9">
        <w:rPr>
          <w:rFonts w:ascii="Times New Roman" w:hAnsi="Times New Roman" w:cs="Times New Roman"/>
          <w:sz w:val="24"/>
          <w:szCs w:val="24"/>
        </w:rPr>
        <w:t>Est</w:t>
      </w:r>
      <w:r w:rsidR="00A12DAB">
        <w:rPr>
          <w:rFonts w:ascii="Times New Roman" w:hAnsi="Times New Roman" w:cs="Times New Roman"/>
          <w:sz w:val="24"/>
          <w:szCs w:val="24"/>
        </w:rPr>
        <w:t xml:space="preserve">e trabajo </w:t>
      </w:r>
      <w:r w:rsidRPr="002F1CE9">
        <w:rPr>
          <w:rFonts w:ascii="Times New Roman" w:hAnsi="Times New Roman" w:cs="Times New Roman"/>
          <w:sz w:val="24"/>
          <w:szCs w:val="24"/>
        </w:rPr>
        <w:t>muestra que el modelo de dos casillas implica la duplicidad de funciones en materia de capacitación y organización electoral, lo que genera ineficiencia por la doble inversión de recursos en la organización de los procesos electorales y el incremento del costo de las elecciones; por el contrario, el modelo de casilla única es más eficiente, porque las instituciones electorales que participan en la organización de las elecciones coincidentes a nivel federal y local comparten gastos en materia de capacitación y organización electoral.</w:t>
      </w:r>
    </w:p>
    <w:p w:rsidR="00336E01" w:rsidRPr="002F1CE9" w:rsidRDefault="00336E01" w:rsidP="0082254F">
      <w:pPr>
        <w:pStyle w:val="Default"/>
        <w:spacing w:before="240" w:after="240" w:line="360" w:lineRule="auto"/>
        <w:jc w:val="both"/>
      </w:pPr>
      <w:r w:rsidRPr="002F1CE9">
        <w:t>Sin embargo</w:t>
      </w:r>
      <w:r w:rsidR="002F1CE9" w:rsidRPr="002F1CE9">
        <w:t xml:space="preserve">, es oportuno señalar que </w:t>
      </w:r>
      <w:r w:rsidRPr="002F1CE9">
        <w:t>en el caso de Campeche existen limitaciones legales que impiden el funcionamiento de la casilla única; no es la misma situación de Colima,</w:t>
      </w:r>
      <w:r w:rsidR="002F1CE9" w:rsidRPr="002F1CE9">
        <w:t xml:space="preserve"> </w:t>
      </w:r>
      <w:r w:rsidR="00921810">
        <w:t>donde e</w:t>
      </w:r>
      <w:r w:rsidR="002F1CE9">
        <w:t xml:space="preserve">l </w:t>
      </w:r>
      <w:r w:rsidRPr="002F1CE9">
        <w:t xml:space="preserve">modelo de casilla única con una mesa directiva es </w:t>
      </w:r>
      <w:r w:rsidR="002F1CE9">
        <w:t xml:space="preserve">más </w:t>
      </w:r>
      <w:r w:rsidRPr="002F1CE9">
        <w:t xml:space="preserve">eficaz y eficiente, </w:t>
      </w:r>
      <w:r w:rsidR="002F1CE9">
        <w:t xml:space="preserve">dado que </w:t>
      </w:r>
      <w:r w:rsidR="00921810">
        <w:t xml:space="preserve">esa institución </w:t>
      </w:r>
      <w:r w:rsidRPr="002F1CE9">
        <w:t>y el IFE comparten gastos en partidas iguales</w:t>
      </w:r>
      <w:r w:rsidR="007F28C5">
        <w:t xml:space="preserve">; </w:t>
      </w:r>
      <w:r w:rsidR="00396369">
        <w:t xml:space="preserve">además de que </w:t>
      </w:r>
      <w:r w:rsidR="007F28C5">
        <w:t>e</w:t>
      </w:r>
      <w:r w:rsidRPr="002F1CE9">
        <w:t xml:space="preserve">l código electoral del estado permite el funcionamiento de </w:t>
      </w:r>
      <w:r w:rsidR="007F28C5">
        <w:t xml:space="preserve">la </w:t>
      </w:r>
      <w:r w:rsidRPr="002F1CE9">
        <w:t xml:space="preserve">casilla </w:t>
      </w:r>
      <w:r w:rsidR="00921810">
        <w:t xml:space="preserve">única </w:t>
      </w:r>
      <w:r w:rsidRPr="002F1CE9">
        <w:t>cuando las elecciones locales y federales son coincidentes y la coordinación interinstitucional con el IFE se da respetando la autonomía, independencia y delimitando claramente los ámbitos de responsabilidad de cada institución. Es un modelo e</w:t>
      </w:r>
      <w:r w:rsidR="00921810">
        <w:t>xitoso desde 1997, hace 6</w:t>
      </w:r>
      <w:r w:rsidR="007F28C5">
        <w:t xml:space="preserve"> procesos electorales que</w:t>
      </w:r>
      <w:r w:rsidRPr="002F1CE9">
        <w:t xml:space="preserve"> se ha instalado </w:t>
      </w:r>
      <w:r w:rsidR="00A12DAB">
        <w:t xml:space="preserve">esta </w:t>
      </w:r>
      <w:r w:rsidRPr="002F1CE9">
        <w:t>casilla con result</w:t>
      </w:r>
      <w:r w:rsidR="00A12DAB">
        <w:t>ados positivos</w:t>
      </w:r>
      <w:r w:rsidRPr="002F1CE9">
        <w:t>.</w:t>
      </w:r>
    </w:p>
    <w:p w:rsidR="002F1CE9" w:rsidRPr="002F1CE9" w:rsidRDefault="00336E01" w:rsidP="0082254F">
      <w:pPr>
        <w:spacing w:before="240"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1CE9">
        <w:rPr>
          <w:rFonts w:ascii="Times New Roman" w:hAnsi="Times New Roman" w:cs="Times New Roman"/>
          <w:sz w:val="24"/>
          <w:szCs w:val="24"/>
        </w:rPr>
        <w:t>Como se muestra en l</w:t>
      </w:r>
      <w:r w:rsidR="007F28C5">
        <w:rPr>
          <w:rFonts w:ascii="Times New Roman" w:hAnsi="Times New Roman" w:cs="Times New Roman"/>
          <w:sz w:val="24"/>
          <w:szCs w:val="24"/>
        </w:rPr>
        <w:t>a</w:t>
      </w:r>
      <w:r w:rsidRPr="002F1CE9">
        <w:rPr>
          <w:rFonts w:ascii="Times New Roman" w:hAnsi="Times New Roman" w:cs="Times New Roman"/>
          <w:sz w:val="24"/>
          <w:szCs w:val="24"/>
        </w:rPr>
        <w:t xml:space="preserve"> </w:t>
      </w:r>
      <w:r w:rsidR="007F28C5">
        <w:rPr>
          <w:rFonts w:ascii="Times New Roman" w:hAnsi="Times New Roman" w:cs="Times New Roman"/>
          <w:sz w:val="24"/>
          <w:szCs w:val="24"/>
        </w:rPr>
        <w:t>investigación</w:t>
      </w:r>
      <w:r w:rsidRPr="002F1CE9">
        <w:rPr>
          <w:rFonts w:ascii="Times New Roman" w:hAnsi="Times New Roman" w:cs="Times New Roman"/>
          <w:sz w:val="24"/>
          <w:szCs w:val="24"/>
        </w:rPr>
        <w:t>, dos instituciones electorales similares logran el mismo objetivo de garantizar la celebración de elecciones pero con presupuestos desiguales, y una es más eficiente mientras la otra más onerosa.</w:t>
      </w:r>
    </w:p>
    <w:sectPr w:rsidR="002F1CE9" w:rsidRPr="002F1CE9" w:rsidSect="0008567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336E01"/>
    <w:rsid w:val="0008567C"/>
    <w:rsid w:val="002F1CE9"/>
    <w:rsid w:val="00336E01"/>
    <w:rsid w:val="00396369"/>
    <w:rsid w:val="00416E5C"/>
    <w:rsid w:val="004C4460"/>
    <w:rsid w:val="007F28C5"/>
    <w:rsid w:val="0082254F"/>
    <w:rsid w:val="00921810"/>
    <w:rsid w:val="00A12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56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36E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318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gonzalez</dc:creator>
  <cp:lastModifiedBy>juan gonzalez</cp:lastModifiedBy>
  <cp:revision>8</cp:revision>
  <dcterms:created xsi:type="dcterms:W3CDTF">2012-08-07T00:42:00Z</dcterms:created>
  <dcterms:modified xsi:type="dcterms:W3CDTF">2012-08-07T01:11:00Z</dcterms:modified>
</cp:coreProperties>
</file>