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163" w:rsidRPr="00266F3F" w:rsidRDefault="00334163" w:rsidP="00266F3F">
      <w:pPr>
        <w:jc w:val="center"/>
        <w:rPr>
          <w:rFonts w:ascii="Arial" w:hAnsi="Arial" w:cs="Arial"/>
          <w:b/>
          <w:sz w:val="28"/>
          <w:szCs w:val="28"/>
        </w:rPr>
      </w:pPr>
      <w:r w:rsidRPr="00266F3F">
        <w:rPr>
          <w:rFonts w:ascii="Arial" w:hAnsi="Arial" w:cs="Arial"/>
          <w:b/>
          <w:sz w:val="28"/>
          <w:szCs w:val="28"/>
        </w:rPr>
        <w:t>Panorama de la competitividad en las elecciones locales en Guanajuato 1995-2012.</w:t>
      </w:r>
    </w:p>
    <w:p w:rsidR="00266F3F" w:rsidRDefault="00266F3F" w:rsidP="00266F3F">
      <w:pPr>
        <w:spacing w:after="0" w:line="360" w:lineRule="auto"/>
        <w:jc w:val="right"/>
        <w:rPr>
          <w:rFonts w:ascii="Arial" w:hAnsi="Arial" w:cs="Arial"/>
        </w:rPr>
      </w:pPr>
      <w:r w:rsidRPr="002F6D8B">
        <w:rPr>
          <w:rFonts w:ascii="Arial" w:hAnsi="Arial" w:cs="Arial"/>
          <w:sz w:val="24"/>
        </w:rPr>
        <w:t>Presenta: Fernando Díaz Pérez</w:t>
      </w:r>
      <w:r>
        <w:rPr>
          <w:rStyle w:val="Refdenotaalpie"/>
          <w:rFonts w:ascii="Arial" w:hAnsi="Arial" w:cs="Arial"/>
        </w:rPr>
        <w:footnoteReference w:id="1"/>
      </w:r>
    </w:p>
    <w:p w:rsidR="00266F3F" w:rsidRDefault="00266F3F">
      <w:pPr>
        <w:rPr>
          <w:rFonts w:ascii="Arial" w:hAnsi="Arial" w:cs="Arial"/>
        </w:rPr>
      </w:pPr>
      <w:bookmarkStart w:id="0" w:name="_GoBack"/>
      <w:bookmarkEnd w:id="0"/>
    </w:p>
    <w:p w:rsidR="000D1CD0" w:rsidRDefault="00334163" w:rsidP="00266F3F">
      <w:pPr>
        <w:ind w:firstLine="708"/>
        <w:jc w:val="both"/>
        <w:rPr>
          <w:rFonts w:ascii="Arial" w:hAnsi="Arial" w:cs="Arial"/>
          <w:sz w:val="20"/>
          <w:szCs w:val="20"/>
        </w:rPr>
      </w:pPr>
      <w:r w:rsidRPr="000D1CD0">
        <w:rPr>
          <w:rFonts w:ascii="Arial" w:hAnsi="Arial" w:cs="Arial"/>
          <w:sz w:val="20"/>
          <w:szCs w:val="20"/>
        </w:rPr>
        <w:t xml:space="preserve">Este trabajo analiza el conjunto de procesos electorales  en el estado de Guanajuato bajo la premisa de </w:t>
      </w:r>
      <w:r w:rsidRPr="000D1CD0">
        <w:rPr>
          <w:rFonts w:ascii="Arial" w:hAnsi="Arial" w:cs="Arial"/>
          <w:sz w:val="20"/>
          <w:szCs w:val="20"/>
        </w:rPr>
        <w:t>Gómez Tagle</w:t>
      </w:r>
      <w:r w:rsidRPr="000D1CD0">
        <w:rPr>
          <w:rFonts w:ascii="Arial" w:hAnsi="Arial" w:cs="Arial"/>
          <w:sz w:val="20"/>
          <w:szCs w:val="20"/>
          <w:vertAlign w:val="superscript"/>
        </w:rPr>
        <w:footnoteReference w:id="2"/>
      </w:r>
      <w:r w:rsidRPr="000D1CD0">
        <w:rPr>
          <w:rFonts w:ascii="Arial" w:hAnsi="Arial" w:cs="Arial"/>
          <w:sz w:val="20"/>
          <w:szCs w:val="20"/>
          <w:vertAlign w:val="superscript"/>
        </w:rPr>
        <w:t xml:space="preserve"> </w:t>
      </w:r>
      <w:r w:rsidR="000D1CD0" w:rsidRPr="000D1CD0">
        <w:rPr>
          <w:rFonts w:ascii="Arial" w:hAnsi="Arial" w:cs="Arial"/>
          <w:sz w:val="20"/>
          <w:szCs w:val="20"/>
        </w:rPr>
        <w:t xml:space="preserve">que </w:t>
      </w:r>
      <w:r w:rsidRPr="000D1CD0">
        <w:rPr>
          <w:rFonts w:ascii="Arial" w:hAnsi="Arial" w:cs="Arial"/>
          <w:sz w:val="20"/>
          <w:szCs w:val="20"/>
        </w:rPr>
        <w:t>señala que las elecciones son el momento en que el sistema político entra en tensión, se expresan las fuerzas sociales y salen a relucir las estructuras del sistema, es el momento en que la población, en su fase ciudadana, puede cuestionar a los actores políticos, candidatos, partidos y efectivamente aceptar o rechazar, programas políticos, formas de acción y asociación, ideol</w:t>
      </w:r>
      <w:r w:rsidR="000D1CD0" w:rsidRPr="000D1CD0">
        <w:rPr>
          <w:rFonts w:ascii="Arial" w:hAnsi="Arial" w:cs="Arial"/>
          <w:sz w:val="20"/>
          <w:szCs w:val="20"/>
        </w:rPr>
        <w:t>ogías, etc. A las elecciones les</w:t>
      </w:r>
      <w:r w:rsidRPr="000D1CD0">
        <w:rPr>
          <w:rFonts w:ascii="Arial" w:hAnsi="Arial" w:cs="Arial"/>
          <w:sz w:val="20"/>
          <w:szCs w:val="20"/>
        </w:rPr>
        <w:t xml:space="preserve"> corresponde ser la parte dinámica de la moderna lucha por el poder, de tal manera que son un reflejo de la disputa por el cambio o la continuidad dentro del sistema político.</w:t>
      </w:r>
    </w:p>
    <w:p w:rsidR="00334163" w:rsidRPr="000D1CD0" w:rsidRDefault="00334163" w:rsidP="00266F3F">
      <w:pPr>
        <w:jc w:val="both"/>
        <w:rPr>
          <w:rFonts w:ascii="Arial" w:hAnsi="Arial" w:cs="Arial"/>
          <w:sz w:val="20"/>
          <w:szCs w:val="20"/>
        </w:rPr>
      </w:pPr>
      <w:r w:rsidRPr="000D1CD0">
        <w:rPr>
          <w:rFonts w:ascii="Arial" w:hAnsi="Arial" w:cs="Arial"/>
          <w:sz w:val="20"/>
          <w:szCs w:val="20"/>
        </w:rPr>
        <w:tab/>
        <w:t>En el caso de Guanajuato, según datos  del Instituto Electoral del Estado</w:t>
      </w:r>
      <w:r w:rsidRPr="000D1CD0">
        <w:rPr>
          <w:rFonts w:ascii="Arial" w:hAnsi="Arial" w:cs="Arial"/>
          <w:sz w:val="20"/>
          <w:szCs w:val="20"/>
          <w:vertAlign w:val="superscript"/>
        </w:rPr>
        <w:footnoteReference w:id="3"/>
      </w:r>
      <w:r w:rsidRPr="000D1CD0">
        <w:rPr>
          <w:rFonts w:ascii="Arial" w:hAnsi="Arial" w:cs="Arial"/>
          <w:sz w:val="20"/>
          <w:szCs w:val="20"/>
        </w:rPr>
        <w:t xml:space="preserve"> desde su</w:t>
      </w:r>
      <w:r w:rsidR="000D1CD0">
        <w:rPr>
          <w:rFonts w:ascii="Arial" w:hAnsi="Arial" w:cs="Arial"/>
          <w:sz w:val="20"/>
          <w:szCs w:val="20"/>
        </w:rPr>
        <w:t xml:space="preserve"> fundación han tenido lugar seis procesos electorales, tres</w:t>
      </w:r>
      <w:r w:rsidRPr="000D1CD0">
        <w:rPr>
          <w:rFonts w:ascii="Arial" w:hAnsi="Arial" w:cs="Arial"/>
          <w:sz w:val="20"/>
          <w:szCs w:val="20"/>
        </w:rPr>
        <w:t xml:space="preserve"> de los cuales han sido exclusivamente de Ayuntamientos y </w:t>
      </w:r>
      <w:r w:rsidR="000D1CD0">
        <w:rPr>
          <w:rFonts w:ascii="Arial" w:hAnsi="Arial" w:cs="Arial"/>
          <w:sz w:val="20"/>
          <w:szCs w:val="20"/>
        </w:rPr>
        <w:t>Diputados locales y en otros tres</w:t>
      </w:r>
      <w:r w:rsidRPr="000D1CD0">
        <w:rPr>
          <w:rFonts w:ascii="Arial" w:hAnsi="Arial" w:cs="Arial"/>
          <w:sz w:val="20"/>
          <w:szCs w:val="20"/>
        </w:rPr>
        <w:t xml:space="preserve"> además se he elegido Gobernador, por lo que acotaremos nuestro trabajo a este periodo. </w:t>
      </w:r>
      <w:r w:rsidR="000D1CD0">
        <w:rPr>
          <w:rFonts w:ascii="Arial" w:hAnsi="Arial" w:cs="Arial"/>
          <w:sz w:val="20"/>
          <w:szCs w:val="20"/>
        </w:rPr>
        <w:t xml:space="preserve">Al analizar las elecciones en el Estado generaremos un indicador de la competitividad de los partidos políticos para esto pasaremos a </w:t>
      </w:r>
      <w:r w:rsidR="000D1CD0" w:rsidRPr="000D1CD0">
        <w:rPr>
          <w:rFonts w:ascii="Arial" w:hAnsi="Arial" w:cs="Arial"/>
          <w:sz w:val="20"/>
          <w:szCs w:val="20"/>
        </w:rPr>
        <w:t>considera</w:t>
      </w:r>
      <w:r w:rsidR="000D1CD0">
        <w:rPr>
          <w:rFonts w:ascii="Arial" w:hAnsi="Arial" w:cs="Arial"/>
          <w:sz w:val="20"/>
          <w:szCs w:val="20"/>
        </w:rPr>
        <w:t>r</w:t>
      </w:r>
      <w:r w:rsidR="000D1CD0" w:rsidRPr="000D1CD0">
        <w:rPr>
          <w:rFonts w:ascii="Arial" w:hAnsi="Arial" w:cs="Arial"/>
          <w:sz w:val="20"/>
          <w:szCs w:val="20"/>
        </w:rPr>
        <w:t xml:space="preserve"> la competitividad en términos de como lo ha definido Sartori, como “un estado concreto del juego… una característica o atributo de la competencia”, entonces la competencia es “la estructura o regla del juego”</w:t>
      </w:r>
      <w:r w:rsidR="000D1CD0" w:rsidRPr="000D1CD0">
        <w:rPr>
          <w:rFonts w:ascii="Arial" w:hAnsi="Arial" w:cs="Arial"/>
          <w:sz w:val="20"/>
          <w:szCs w:val="20"/>
          <w:vertAlign w:val="superscript"/>
        </w:rPr>
        <w:footnoteReference w:id="4"/>
      </w:r>
      <w:r w:rsidR="000D1CD0" w:rsidRPr="000D1CD0">
        <w:rPr>
          <w:rFonts w:ascii="Arial" w:hAnsi="Arial" w:cs="Arial"/>
          <w:sz w:val="20"/>
          <w:szCs w:val="20"/>
        </w:rPr>
        <w:t>. En este sentido, como lo afirma Méndez, la competencia implica “un conjunto de condiciones estructurales bajo las cuales los partidos tienen la posibilidad de entrar en una situación competitiva. La competencia presupone la posibilidad de alternancia en el poder, que no hay monopolio, ni control sobre la elección y que los resultados no están predeterminados. Además</w:t>
      </w:r>
      <w:proofErr w:type="gramStart"/>
      <w:r w:rsidR="000D1CD0" w:rsidRPr="000D1CD0">
        <w:rPr>
          <w:rFonts w:ascii="Arial" w:hAnsi="Arial" w:cs="Arial"/>
          <w:sz w:val="20"/>
          <w:szCs w:val="20"/>
        </w:rPr>
        <w:t>..</w:t>
      </w:r>
      <w:proofErr w:type="gramEnd"/>
      <w:r w:rsidR="000D1CD0" w:rsidRPr="000D1CD0">
        <w:rPr>
          <w:rFonts w:ascii="Arial" w:hAnsi="Arial" w:cs="Arial"/>
          <w:sz w:val="20"/>
          <w:szCs w:val="20"/>
        </w:rPr>
        <w:t xml:space="preserve"> </w:t>
      </w:r>
      <w:proofErr w:type="gramStart"/>
      <w:r w:rsidR="000D1CD0" w:rsidRPr="000D1CD0">
        <w:rPr>
          <w:rFonts w:ascii="Arial" w:hAnsi="Arial" w:cs="Arial"/>
          <w:sz w:val="20"/>
          <w:szCs w:val="20"/>
        </w:rPr>
        <w:t>que</w:t>
      </w:r>
      <w:proofErr w:type="gramEnd"/>
      <w:r w:rsidR="000D1CD0" w:rsidRPr="000D1CD0">
        <w:rPr>
          <w:rFonts w:ascii="Arial" w:hAnsi="Arial" w:cs="Arial"/>
          <w:sz w:val="20"/>
          <w:szCs w:val="20"/>
        </w:rPr>
        <w:t xml:space="preserve"> la mayoría de los asientos están disputados en cada demarcación electoral entre dos o más partidos verdaderamente independientes, con los mismos derechos y oportunidades de para competir”</w:t>
      </w:r>
      <w:r w:rsidR="000D1CD0" w:rsidRPr="000D1CD0">
        <w:rPr>
          <w:rFonts w:ascii="Arial" w:hAnsi="Arial" w:cs="Arial"/>
          <w:sz w:val="20"/>
          <w:szCs w:val="20"/>
          <w:vertAlign w:val="superscript"/>
        </w:rPr>
        <w:footnoteReference w:id="5"/>
      </w:r>
      <w:r w:rsidR="000D1CD0" w:rsidRPr="000D1CD0">
        <w:rPr>
          <w:rFonts w:ascii="Arial" w:hAnsi="Arial" w:cs="Arial"/>
          <w:sz w:val="20"/>
          <w:szCs w:val="20"/>
        </w:rPr>
        <w:t>. Suponemos que en el estado de Guanajuato se encuentran dadas las condiciones estructurales y  que es posible y tener elecciones competidas y libres, por lo que procedemos a medir el “estado de la competencia”, la competitividad. Esto puede resultar complicado por varias razones, comenzando con la obtención de los datos la veracidad, hasta el tratamiento estadístico de los mismos, que indicador es el más adecuado o refleja mejor el fenómeno que buscamos estudiar</w:t>
      </w:r>
      <w:r w:rsidR="000D1CD0" w:rsidRPr="000D1CD0">
        <w:rPr>
          <w:rFonts w:ascii="Arial" w:hAnsi="Arial" w:cs="Arial"/>
          <w:sz w:val="20"/>
          <w:szCs w:val="20"/>
          <w:vertAlign w:val="superscript"/>
        </w:rPr>
        <w:footnoteReference w:id="6"/>
      </w:r>
      <w:r w:rsidR="000D1CD0" w:rsidRPr="000D1CD0">
        <w:rPr>
          <w:rFonts w:ascii="Arial" w:hAnsi="Arial" w:cs="Arial"/>
          <w:sz w:val="20"/>
          <w:szCs w:val="20"/>
        </w:rPr>
        <w:t>.</w:t>
      </w:r>
    </w:p>
    <w:p w:rsidR="00334163" w:rsidRPr="000D1CD0" w:rsidRDefault="00334163">
      <w:pPr>
        <w:rPr>
          <w:rFonts w:ascii="Arial" w:hAnsi="Arial" w:cs="Arial"/>
          <w:sz w:val="20"/>
          <w:szCs w:val="20"/>
        </w:rPr>
      </w:pPr>
    </w:p>
    <w:sectPr w:rsidR="00334163" w:rsidRPr="000D1CD0" w:rsidSect="00266F3F">
      <w:pgSz w:w="12240" w:h="15840"/>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B63" w:rsidRDefault="00877B63" w:rsidP="00334163">
      <w:pPr>
        <w:spacing w:after="0" w:line="240" w:lineRule="auto"/>
      </w:pPr>
      <w:r>
        <w:separator/>
      </w:r>
    </w:p>
  </w:endnote>
  <w:endnote w:type="continuationSeparator" w:id="0">
    <w:p w:rsidR="00877B63" w:rsidRDefault="00877B63" w:rsidP="0033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B63" w:rsidRDefault="00877B63" w:rsidP="00334163">
      <w:pPr>
        <w:spacing w:after="0" w:line="240" w:lineRule="auto"/>
      </w:pPr>
      <w:r>
        <w:separator/>
      </w:r>
    </w:p>
  </w:footnote>
  <w:footnote w:type="continuationSeparator" w:id="0">
    <w:p w:rsidR="00877B63" w:rsidRDefault="00877B63" w:rsidP="00334163">
      <w:pPr>
        <w:spacing w:after="0" w:line="240" w:lineRule="auto"/>
      </w:pPr>
      <w:r>
        <w:continuationSeparator/>
      </w:r>
    </w:p>
  </w:footnote>
  <w:footnote w:id="1">
    <w:p w:rsidR="00266F3F" w:rsidRPr="00266F3F" w:rsidRDefault="00266F3F" w:rsidP="00266F3F">
      <w:pPr>
        <w:pStyle w:val="Textonotapie"/>
        <w:spacing w:after="0" w:line="240" w:lineRule="auto"/>
        <w:jc w:val="both"/>
        <w:rPr>
          <w:rFonts w:ascii="Arial" w:hAnsi="Arial" w:cs="Arial"/>
          <w:sz w:val="18"/>
          <w:szCs w:val="18"/>
        </w:rPr>
      </w:pPr>
      <w:r>
        <w:rPr>
          <w:rStyle w:val="Refdenotaalpie"/>
        </w:rPr>
        <w:footnoteRef/>
      </w:r>
      <w:r>
        <w:t xml:space="preserve"> </w:t>
      </w:r>
      <w:r w:rsidRPr="00266F3F">
        <w:rPr>
          <w:rFonts w:ascii="Arial" w:hAnsi="Arial" w:cs="Arial"/>
          <w:sz w:val="18"/>
          <w:szCs w:val="18"/>
        </w:rPr>
        <w:t xml:space="preserve">Dr. en Ciencias Políticas y Sociales, Mtro. En Planeación y Políticas Metropolitanas, Profesor- Investigador del Departamento de Gestión Pública, División de Derecho, Política y Gobierno, Universidad de Guanajuato </w:t>
      </w:r>
      <w:hyperlink r:id="rId1" w:history="1">
        <w:r w:rsidRPr="00266F3F">
          <w:rPr>
            <w:sz w:val="18"/>
            <w:szCs w:val="18"/>
          </w:rPr>
          <w:t>dipf71@hotmail.com</w:t>
        </w:r>
      </w:hyperlink>
      <w:r w:rsidRPr="00266F3F">
        <w:rPr>
          <w:rFonts w:ascii="Arial" w:hAnsi="Arial" w:cs="Arial"/>
          <w:sz w:val="18"/>
          <w:szCs w:val="18"/>
        </w:rPr>
        <w:t xml:space="preserve"> </w:t>
      </w:r>
    </w:p>
  </w:footnote>
  <w:footnote w:id="2">
    <w:p w:rsidR="00334163" w:rsidRDefault="00334163" w:rsidP="00266F3F">
      <w:pPr>
        <w:pStyle w:val="Textonotapie"/>
        <w:spacing w:after="0" w:line="240" w:lineRule="auto"/>
        <w:jc w:val="both"/>
      </w:pPr>
      <w:r w:rsidRPr="00266F3F">
        <w:rPr>
          <w:rFonts w:ascii="Arial" w:hAnsi="Arial" w:cs="Arial"/>
          <w:sz w:val="18"/>
          <w:szCs w:val="18"/>
        </w:rPr>
        <w:footnoteRef/>
      </w:r>
      <w:r w:rsidRPr="00266F3F">
        <w:rPr>
          <w:rFonts w:ascii="Arial" w:hAnsi="Arial" w:cs="Arial"/>
          <w:sz w:val="18"/>
          <w:szCs w:val="18"/>
        </w:rPr>
        <w:t xml:space="preserve"> </w:t>
      </w:r>
      <w:r w:rsidRPr="000D1CD0">
        <w:rPr>
          <w:rFonts w:ascii="Arial" w:hAnsi="Arial" w:cs="Arial"/>
          <w:sz w:val="18"/>
          <w:szCs w:val="18"/>
        </w:rPr>
        <w:t xml:space="preserve">Silvia Gómez Tagle; “De política, geografía y elecciones” en Silvia Gómez Tagle y María Eugenia Valdés; </w:t>
      </w:r>
      <w:r w:rsidRPr="000D1CD0">
        <w:rPr>
          <w:rFonts w:ascii="Arial" w:hAnsi="Arial" w:cs="Arial"/>
          <w:i/>
          <w:sz w:val="18"/>
          <w:szCs w:val="18"/>
        </w:rPr>
        <w:t xml:space="preserve">La geografía del poder y las elecciones en México. </w:t>
      </w:r>
      <w:r w:rsidRPr="000D1CD0">
        <w:rPr>
          <w:rFonts w:ascii="Arial" w:hAnsi="Arial" w:cs="Arial"/>
          <w:sz w:val="18"/>
          <w:szCs w:val="18"/>
        </w:rPr>
        <w:t>IFE-Plaza y Valdés editores. México 2000.</w:t>
      </w:r>
    </w:p>
  </w:footnote>
  <w:footnote w:id="3">
    <w:p w:rsidR="00334163" w:rsidRPr="000D1CD0" w:rsidRDefault="00334163" w:rsidP="00266F3F">
      <w:pPr>
        <w:pStyle w:val="Textonotapie"/>
        <w:spacing w:after="0" w:line="240" w:lineRule="auto"/>
        <w:rPr>
          <w:rFonts w:ascii="Arial" w:hAnsi="Arial" w:cs="Arial"/>
          <w:sz w:val="18"/>
          <w:szCs w:val="18"/>
        </w:rPr>
      </w:pPr>
      <w:r>
        <w:rPr>
          <w:rStyle w:val="Refdenotaalpie"/>
        </w:rPr>
        <w:footnoteRef/>
      </w:r>
      <w:r>
        <w:t xml:space="preserve"> </w:t>
      </w:r>
      <w:hyperlink r:id="rId2" w:history="1">
        <w:r w:rsidRPr="000D1CD0">
          <w:rPr>
            <w:rFonts w:ascii="Arial" w:hAnsi="Arial" w:cs="Arial"/>
            <w:sz w:val="18"/>
            <w:szCs w:val="18"/>
          </w:rPr>
          <w:t>http://www.ieeg.org.mx/</w:t>
        </w:r>
      </w:hyperlink>
      <w:r w:rsidRPr="000D1CD0">
        <w:rPr>
          <w:rFonts w:ascii="Arial" w:hAnsi="Arial" w:cs="Arial"/>
          <w:sz w:val="18"/>
          <w:szCs w:val="18"/>
        </w:rPr>
        <w:t xml:space="preserve"> 25 de marzo de 2012</w:t>
      </w:r>
    </w:p>
  </w:footnote>
  <w:footnote w:id="4">
    <w:p w:rsidR="000D1CD0" w:rsidRPr="000D1CD0" w:rsidRDefault="000D1CD0" w:rsidP="00266F3F">
      <w:pPr>
        <w:pStyle w:val="Textonotapie"/>
        <w:spacing w:after="0" w:line="240" w:lineRule="auto"/>
        <w:rPr>
          <w:rFonts w:ascii="Arial" w:hAnsi="Arial" w:cs="Arial"/>
          <w:sz w:val="18"/>
          <w:szCs w:val="18"/>
        </w:rPr>
      </w:pPr>
      <w:r w:rsidRPr="000D1CD0">
        <w:rPr>
          <w:rStyle w:val="Refdenotaalpie"/>
          <w:rFonts w:ascii="Arial" w:hAnsi="Arial" w:cs="Arial"/>
          <w:sz w:val="18"/>
          <w:szCs w:val="18"/>
        </w:rPr>
        <w:footnoteRef/>
      </w:r>
      <w:r w:rsidRPr="000D1CD0">
        <w:rPr>
          <w:rFonts w:ascii="Arial" w:hAnsi="Arial" w:cs="Arial"/>
          <w:sz w:val="18"/>
          <w:szCs w:val="18"/>
        </w:rPr>
        <w:t xml:space="preserve"> </w:t>
      </w:r>
      <w:proofErr w:type="spellStart"/>
      <w:r w:rsidRPr="000D1CD0">
        <w:rPr>
          <w:rFonts w:ascii="Arial" w:hAnsi="Arial" w:cs="Arial"/>
          <w:sz w:val="18"/>
          <w:szCs w:val="18"/>
        </w:rPr>
        <w:t>Giovani</w:t>
      </w:r>
      <w:proofErr w:type="spellEnd"/>
      <w:r w:rsidRPr="000D1CD0">
        <w:rPr>
          <w:rFonts w:ascii="Arial" w:hAnsi="Arial" w:cs="Arial"/>
          <w:sz w:val="18"/>
          <w:szCs w:val="18"/>
        </w:rPr>
        <w:t xml:space="preserve"> Sartori; </w:t>
      </w:r>
      <w:r w:rsidRPr="000D1CD0">
        <w:rPr>
          <w:rFonts w:ascii="Arial" w:hAnsi="Arial" w:cs="Arial"/>
          <w:i/>
          <w:sz w:val="18"/>
          <w:szCs w:val="18"/>
        </w:rPr>
        <w:t>Partidos y sistemas de partidos</w:t>
      </w:r>
      <w:r w:rsidRPr="000D1CD0">
        <w:rPr>
          <w:rFonts w:ascii="Arial" w:hAnsi="Arial" w:cs="Arial"/>
          <w:sz w:val="18"/>
          <w:szCs w:val="18"/>
        </w:rPr>
        <w:t>. Alianza Editorial, Madrid, 1980, pp. 218.</w:t>
      </w:r>
    </w:p>
  </w:footnote>
  <w:footnote w:id="5">
    <w:p w:rsidR="000D1CD0" w:rsidRPr="00266F3F" w:rsidRDefault="000D1CD0" w:rsidP="00266F3F">
      <w:pPr>
        <w:pStyle w:val="Textonotapie"/>
        <w:spacing w:after="0" w:line="240" w:lineRule="auto"/>
        <w:jc w:val="both"/>
        <w:rPr>
          <w:rFonts w:ascii="Arial" w:hAnsi="Arial" w:cs="Arial"/>
          <w:sz w:val="18"/>
          <w:szCs w:val="18"/>
        </w:rPr>
      </w:pPr>
      <w:r>
        <w:rPr>
          <w:rStyle w:val="Refdenotaalpie"/>
        </w:rPr>
        <w:footnoteRef/>
      </w:r>
      <w:r>
        <w:t xml:space="preserve"> </w:t>
      </w:r>
      <w:r w:rsidRPr="000D1CD0">
        <w:rPr>
          <w:rFonts w:ascii="Arial" w:hAnsi="Arial" w:cs="Arial"/>
          <w:sz w:val="18"/>
          <w:szCs w:val="18"/>
        </w:rPr>
        <w:t>Irma Méndez de Hoyos; “Competencia y competitividad electoral: dos conceptos clave de la transición democrática” en Revista Polis: Investigación y Análisis Sociopolítico y Psicosocial, año 1, núm. 3. UAM</w:t>
      </w:r>
      <w:r w:rsidRPr="00266F3F">
        <w:rPr>
          <w:rFonts w:ascii="Arial" w:hAnsi="Arial" w:cs="Arial"/>
          <w:sz w:val="18"/>
          <w:szCs w:val="18"/>
        </w:rPr>
        <w:t xml:space="preserve">-Iztapalapa, México, 2003, </w:t>
      </w:r>
      <w:proofErr w:type="spellStart"/>
      <w:r w:rsidRPr="00266F3F">
        <w:rPr>
          <w:rFonts w:ascii="Arial" w:hAnsi="Arial" w:cs="Arial"/>
          <w:sz w:val="18"/>
          <w:szCs w:val="18"/>
        </w:rPr>
        <w:t>pp</w:t>
      </w:r>
      <w:proofErr w:type="spellEnd"/>
      <w:r w:rsidRPr="00266F3F">
        <w:rPr>
          <w:rFonts w:ascii="Arial" w:hAnsi="Arial" w:cs="Arial"/>
          <w:sz w:val="18"/>
          <w:szCs w:val="18"/>
        </w:rPr>
        <w:t xml:space="preserve"> 32.</w:t>
      </w:r>
    </w:p>
  </w:footnote>
  <w:footnote w:id="6">
    <w:p w:rsidR="000D1CD0" w:rsidRPr="00266F3F" w:rsidRDefault="000D1CD0" w:rsidP="00266F3F">
      <w:pPr>
        <w:pStyle w:val="Textonotapie"/>
        <w:spacing w:after="0" w:line="240" w:lineRule="auto"/>
        <w:jc w:val="both"/>
        <w:rPr>
          <w:rFonts w:ascii="Arial" w:hAnsi="Arial" w:cs="Arial"/>
          <w:sz w:val="18"/>
          <w:szCs w:val="18"/>
        </w:rPr>
      </w:pPr>
      <w:r>
        <w:rPr>
          <w:rStyle w:val="Refdenotaalpie"/>
        </w:rPr>
        <w:footnoteRef/>
      </w:r>
      <w:r>
        <w:t xml:space="preserve"> </w:t>
      </w:r>
      <w:r w:rsidRPr="00266F3F">
        <w:rPr>
          <w:rFonts w:ascii="Arial" w:hAnsi="Arial" w:cs="Arial"/>
          <w:sz w:val="18"/>
          <w:szCs w:val="18"/>
        </w:rPr>
        <w:t>En la literatura especializada encontramos diversos métodos de medición de los más interesantes están el Índice Compuesto de Competitividad de Irma Méndez de Hoyos en “Competencia y Competitividad electoral en México, 1977-1997” en Revista Política y Gobierno, vol. X, núm. 1, 1 semestre de 2003; los indicadores de competitividad electoral de Ricardo de la Peña en “El número de la autonomías y la competitividad electoral”, en Revista Política y Cultura, otoño, número 024, UAM-Xochimilco, México, 2005; así como los indicadores señalados por Leonardo Valdés Zurita en “El sistema de partidos en México: las dimensiones de la competitividad electoral” en Revista Política y Cultura, otoño, número 005, UAM-Xochimilco, México, 1995.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163"/>
    <w:rsid w:val="0000134D"/>
    <w:rsid w:val="00020BD9"/>
    <w:rsid w:val="000250AB"/>
    <w:rsid w:val="00026C48"/>
    <w:rsid w:val="00046F14"/>
    <w:rsid w:val="00053000"/>
    <w:rsid w:val="0006014A"/>
    <w:rsid w:val="0006203B"/>
    <w:rsid w:val="00066E13"/>
    <w:rsid w:val="00071427"/>
    <w:rsid w:val="000A51BD"/>
    <w:rsid w:val="000D1CD0"/>
    <w:rsid w:val="000D6C77"/>
    <w:rsid w:val="000E2343"/>
    <w:rsid w:val="00113441"/>
    <w:rsid w:val="00135311"/>
    <w:rsid w:val="00142009"/>
    <w:rsid w:val="001572C7"/>
    <w:rsid w:val="00174755"/>
    <w:rsid w:val="001912AB"/>
    <w:rsid w:val="001C3B87"/>
    <w:rsid w:val="001F7D17"/>
    <w:rsid w:val="001F7FD9"/>
    <w:rsid w:val="00220B53"/>
    <w:rsid w:val="00234A85"/>
    <w:rsid w:val="002401DB"/>
    <w:rsid w:val="00240D49"/>
    <w:rsid w:val="00241DDF"/>
    <w:rsid w:val="00247FBD"/>
    <w:rsid w:val="00250AC8"/>
    <w:rsid w:val="002510E1"/>
    <w:rsid w:val="00254A89"/>
    <w:rsid w:val="00256EA5"/>
    <w:rsid w:val="002668EE"/>
    <w:rsid w:val="00266F3F"/>
    <w:rsid w:val="002811DD"/>
    <w:rsid w:val="002B4EDD"/>
    <w:rsid w:val="002D1178"/>
    <w:rsid w:val="002E1324"/>
    <w:rsid w:val="002F030E"/>
    <w:rsid w:val="00315F39"/>
    <w:rsid w:val="00316DE2"/>
    <w:rsid w:val="00334163"/>
    <w:rsid w:val="003501FF"/>
    <w:rsid w:val="00366D02"/>
    <w:rsid w:val="0038728F"/>
    <w:rsid w:val="00392D75"/>
    <w:rsid w:val="003A2309"/>
    <w:rsid w:val="003A5D25"/>
    <w:rsid w:val="003B01FE"/>
    <w:rsid w:val="003B4518"/>
    <w:rsid w:val="003D0E94"/>
    <w:rsid w:val="003D36D2"/>
    <w:rsid w:val="003E27FF"/>
    <w:rsid w:val="00402B6C"/>
    <w:rsid w:val="00410E52"/>
    <w:rsid w:val="00415903"/>
    <w:rsid w:val="004322D3"/>
    <w:rsid w:val="00450AED"/>
    <w:rsid w:val="004765B0"/>
    <w:rsid w:val="004A226B"/>
    <w:rsid w:val="004A66AE"/>
    <w:rsid w:val="004A6757"/>
    <w:rsid w:val="004A6DEC"/>
    <w:rsid w:val="004A7EC7"/>
    <w:rsid w:val="004B4CE1"/>
    <w:rsid w:val="004E5407"/>
    <w:rsid w:val="00507633"/>
    <w:rsid w:val="005102E3"/>
    <w:rsid w:val="00515F9E"/>
    <w:rsid w:val="005276BF"/>
    <w:rsid w:val="0053510E"/>
    <w:rsid w:val="005518B6"/>
    <w:rsid w:val="0055227C"/>
    <w:rsid w:val="00552E0B"/>
    <w:rsid w:val="00575A60"/>
    <w:rsid w:val="005C3552"/>
    <w:rsid w:val="005F2771"/>
    <w:rsid w:val="005F2AEC"/>
    <w:rsid w:val="005F52BD"/>
    <w:rsid w:val="005F6DF5"/>
    <w:rsid w:val="00614321"/>
    <w:rsid w:val="006373DB"/>
    <w:rsid w:val="0064025B"/>
    <w:rsid w:val="00651157"/>
    <w:rsid w:val="00654315"/>
    <w:rsid w:val="00673A96"/>
    <w:rsid w:val="006A2783"/>
    <w:rsid w:val="006A325D"/>
    <w:rsid w:val="006B11E7"/>
    <w:rsid w:val="006B1D4B"/>
    <w:rsid w:val="006B6CAA"/>
    <w:rsid w:val="006B7A96"/>
    <w:rsid w:val="006C0164"/>
    <w:rsid w:val="007146EB"/>
    <w:rsid w:val="00726337"/>
    <w:rsid w:val="00736663"/>
    <w:rsid w:val="007516B5"/>
    <w:rsid w:val="00752C1F"/>
    <w:rsid w:val="00766BB7"/>
    <w:rsid w:val="007709A6"/>
    <w:rsid w:val="00777FB3"/>
    <w:rsid w:val="00783B3D"/>
    <w:rsid w:val="007A160F"/>
    <w:rsid w:val="007B57EA"/>
    <w:rsid w:val="007C1156"/>
    <w:rsid w:val="007D364C"/>
    <w:rsid w:val="007E2B0A"/>
    <w:rsid w:val="007E3ABE"/>
    <w:rsid w:val="007F4A5F"/>
    <w:rsid w:val="007F7897"/>
    <w:rsid w:val="00804843"/>
    <w:rsid w:val="00837389"/>
    <w:rsid w:val="00854641"/>
    <w:rsid w:val="00877B63"/>
    <w:rsid w:val="00897CFD"/>
    <w:rsid w:val="008A137B"/>
    <w:rsid w:val="008A64D4"/>
    <w:rsid w:val="008B04BE"/>
    <w:rsid w:val="008C22EB"/>
    <w:rsid w:val="008D6850"/>
    <w:rsid w:val="008E42EA"/>
    <w:rsid w:val="008E78A4"/>
    <w:rsid w:val="0090686E"/>
    <w:rsid w:val="00915135"/>
    <w:rsid w:val="009243C1"/>
    <w:rsid w:val="00926BEC"/>
    <w:rsid w:val="00926D3A"/>
    <w:rsid w:val="00933051"/>
    <w:rsid w:val="00943A36"/>
    <w:rsid w:val="009459BA"/>
    <w:rsid w:val="009533E7"/>
    <w:rsid w:val="00964FE1"/>
    <w:rsid w:val="00984040"/>
    <w:rsid w:val="00994D74"/>
    <w:rsid w:val="009970BF"/>
    <w:rsid w:val="009B5AA4"/>
    <w:rsid w:val="009D2D05"/>
    <w:rsid w:val="009D552A"/>
    <w:rsid w:val="009E2E97"/>
    <w:rsid w:val="009F7247"/>
    <w:rsid w:val="00A170A0"/>
    <w:rsid w:val="00A20D57"/>
    <w:rsid w:val="00A23279"/>
    <w:rsid w:val="00A323BA"/>
    <w:rsid w:val="00A3358A"/>
    <w:rsid w:val="00A51420"/>
    <w:rsid w:val="00A725B4"/>
    <w:rsid w:val="00A9375C"/>
    <w:rsid w:val="00AB6262"/>
    <w:rsid w:val="00AD3E05"/>
    <w:rsid w:val="00AD5C62"/>
    <w:rsid w:val="00AE4A6B"/>
    <w:rsid w:val="00AE4EFD"/>
    <w:rsid w:val="00AF233F"/>
    <w:rsid w:val="00AF2971"/>
    <w:rsid w:val="00AF33DD"/>
    <w:rsid w:val="00AF5DEF"/>
    <w:rsid w:val="00B05F8E"/>
    <w:rsid w:val="00B1685C"/>
    <w:rsid w:val="00B37CED"/>
    <w:rsid w:val="00B45D5C"/>
    <w:rsid w:val="00B53934"/>
    <w:rsid w:val="00B5461F"/>
    <w:rsid w:val="00B62084"/>
    <w:rsid w:val="00B832A5"/>
    <w:rsid w:val="00B8533C"/>
    <w:rsid w:val="00B96949"/>
    <w:rsid w:val="00BA30AA"/>
    <w:rsid w:val="00BB67B4"/>
    <w:rsid w:val="00BC3F65"/>
    <w:rsid w:val="00BE3A58"/>
    <w:rsid w:val="00BF1E6D"/>
    <w:rsid w:val="00BF35AF"/>
    <w:rsid w:val="00BF733C"/>
    <w:rsid w:val="00C047B9"/>
    <w:rsid w:val="00C04F46"/>
    <w:rsid w:val="00C07435"/>
    <w:rsid w:val="00C101E6"/>
    <w:rsid w:val="00C12506"/>
    <w:rsid w:val="00C178F5"/>
    <w:rsid w:val="00C210C0"/>
    <w:rsid w:val="00C26BB8"/>
    <w:rsid w:val="00C31968"/>
    <w:rsid w:val="00C53DB4"/>
    <w:rsid w:val="00C757CA"/>
    <w:rsid w:val="00CA3F47"/>
    <w:rsid w:val="00CB4973"/>
    <w:rsid w:val="00CF2A5F"/>
    <w:rsid w:val="00D01ED9"/>
    <w:rsid w:val="00D1302D"/>
    <w:rsid w:val="00D14431"/>
    <w:rsid w:val="00D167A7"/>
    <w:rsid w:val="00D247FF"/>
    <w:rsid w:val="00D26DD2"/>
    <w:rsid w:val="00D26E0D"/>
    <w:rsid w:val="00D3316E"/>
    <w:rsid w:val="00D617E9"/>
    <w:rsid w:val="00D6236A"/>
    <w:rsid w:val="00D65F40"/>
    <w:rsid w:val="00D669D6"/>
    <w:rsid w:val="00D72B87"/>
    <w:rsid w:val="00D97450"/>
    <w:rsid w:val="00DA54F1"/>
    <w:rsid w:val="00DB31B5"/>
    <w:rsid w:val="00DB4785"/>
    <w:rsid w:val="00DD2362"/>
    <w:rsid w:val="00DE1E07"/>
    <w:rsid w:val="00DE2F07"/>
    <w:rsid w:val="00DE32C6"/>
    <w:rsid w:val="00E03982"/>
    <w:rsid w:val="00E1335A"/>
    <w:rsid w:val="00E1732D"/>
    <w:rsid w:val="00E77D97"/>
    <w:rsid w:val="00E831CF"/>
    <w:rsid w:val="00ED5DF9"/>
    <w:rsid w:val="00EE2F6E"/>
    <w:rsid w:val="00F10CD5"/>
    <w:rsid w:val="00F171F8"/>
    <w:rsid w:val="00F3404C"/>
    <w:rsid w:val="00F4386E"/>
    <w:rsid w:val="00F507AA"/>
    <w:rsid w:val="00F531C1"/>
    <w:rsid w:val="00F67678"/>
    <w:rsid w:val="00F73650"/>
    <w:rsid w:val="00F92E66"/>
    <w:rsid w:val="00FC163F"/>
    <w:rsid w:val="00FC58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34163"/>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334163"/>
    <w:rPr>
      <w:rFonts w:ascii="Calibri" w:eastAsia="Calibri" w:hAnsi="Calibri" w:cs="Times New Roman"/>
      <w:sz w:val="20"/>
      <w:szCs w:val="20"/>
    </w:rPr>
  </w:style>
  <w:style w:type="character" w:styleId="Refdenotaalpie">
    <w:name w:val="footnote reference"/>
    <w:uiPriority w:val="99"/>
    <w:semiHidden/>
    <w:unhideWhenUsed/>
    <w:rsid w:val="00334163"/>
    <w:rPr>
      <w:vertAlign w:val="superscript"/>
    </w:rPr>
  </w:style>
  <w:style w:type="character" w:styleId="Hipervnculo">
    <w:name w:val="Hyperlink"/>
    <w:basedOn w:val="Fuentedeprrafopredeter"/>
    <w:uiPriority w:val="99"/>
    <w:unhideWhenUsed/>
    <w:rsid w:val="00266F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34163"/>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334163"/>
    <w:rPr>
      <w:rFonts w:ascii="Calibri" w:eastAsia="Calibri" w:hAnsi="Calibri" w:cs="Times New Roman"/>
      <w:sz w:val="20"/>
      <w:szCs w:val="20"/>
    </w:rPr>
  </w:style>
  <w:style w:type="character" w:styleId="Refdenotaalpie">
    <w:name w:val="footnote reference"/>
    <w:uiPriority w:val="99"/>
    <w:semiHidden/>
    <w:unhideWhenUsed/>
    <w:rsid w:val="00334163"/>
    <w:rPr>
      <w:vertAlign w:val="superscript"/>
    </w:rPr>
  </w:style>
  <w:style w:type="character" w:styleId="Hipervnculo">
    <w:name w:val="Hyperlink"/>
    <w:basedOn w:val="Fuentedeprrafopredeter"/>
    <w:uiPriority w:val="99"/>
    <w:unhideWhenUsed/>
    <w:rsid w:val="00266F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ieeg.org.mx/" TargetMode="External"/><Relationship Id="rId1" Type="http://schemas.openxmlformats.org/officeDocument/2006/relationships/hyperlink" Target="mailto:dipf71@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389</Words>
  <Characters>2144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Díaz</dc:creator>
  <cp:lastModifiedBy>Fernando Díaz</cp:lastModifiedBy>
  <cp:revision>1</cp:revision>
  <dcterms:created xsi:type="dcterms:W3CDTF">2012-08-03T01:16:00Z</dcterms:created>
  <dcterms:modified xsi:type="dcterms:W3CDTF">2012-08-03T01:45:00Z</dcterms:modified>
</cp:coreProperties>
</file>