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BAC" w:rsidRDefault="00B17BAC" w:rsidP="00AF1664">
      <w:pPr>
        <w:spacing w:after="0" w:line="240" w:lineRule="auto"/>
        <w:jc w:val="center"/>
        <w:rPr>
          <w:rFonts w:ascii="Times" w:hAnsi="Times" w:cs="Arial"/>
          <w:b/>
          <w:smallCaps/>
          <w:sz w:val="24"/>
          <w:szCs w:val="24"/>
        </w:rPr>
      </w:pPr>
      <w:bookmarkStart w:id="0" w:name="_GoBack"/>
      <w:bookmarkEnd w:id="0"/>
      <w:r w:rsidRPr="00C747C1">
        <w:rPr>
          <w:rFonts w:ascii="Times" w:hAnsi="Times" w:cs="Arial"/>
          <w:b/>
          <w:smallCaps/>
          <w:sz w:val="24"/>
          <w:szCs w:val="24"/>
        </w:rPr>
        <w:t xml:space="preserve">La cuota de género y el aumento de la </w:t>
      </w:r>
      <w:r w:rsidR="008B1899">
        <w:rPr>
          <w:rFonts w:ascii="Times" w:hAnsi="Times" w:cs="Arial"/>
          <w:b/>
          <w:smallCaps/>
          <w:sz w:val="24"/>
          <w:szCs w:val="24"/>
        </w:rPr>
        <w:t xml:space="preserve">participación </w:t>
      </w:r>
      <w:r w:rsidRPr="00C747C1">
        <w:rPr>
          <w:rFonts w:ascii="Times" w:hAnsi="Times" w:cs="Arial"/>
          <w:b/>
          <w:smallCaps/>
          <w:sz w:val="24"/>
          <w:szCs w:val="24"/>
        </w:rPr>
        <w:t>de las mujeres</w:t>
      </w:r>
      <w:r w:rsidR="00E14D24" w:rsidRPr="00C747C1">
        <w:rPr>
          <w:rFonts w:ascii="Times" w:hAnsi="Times" w:cs="Arial"/>
          <w:b/>
          <w:smallCaps/>
          <w:sz w:val="24"/>
          <w:szCs w:val="24"/>
        </w:rPr>
        <w:t xml:space="preserve"> </w:t>
      </w:r>
      <w:r w:rsidR="008B1899">
        <w:rPr>
          <w:rFonts w:ascii="Times" w:hAnsi="Times" w:cs="Arial"/>
          <w:b/>
          <w:smallCaps/>
          <w:sz w:val="24"/>
          <w:szCs w:val="24"/>
        </w:rPr>
        <w:t>en la representación política nacional</w:t>
      </w:r>
      <w:r w:rsidR="006C2F07" w:rsidRPr="00C747C1">
        <w:rPr>
          <w:rFonts w:ascii="Times" w:hAnsi="Times" w:cs="Arial"/>
          <w:b/>
          <w:smallCaps/>
          <w:sz w:val="24"/>
          <w:szCs w:val="24"/>
        </w:rPr>
        <w:t xml:space="preserve">: </w:t>
      </w:r>
      <w:r w:rsidR="006A7EA5" w:rsidRPr="00C747C1">
        <w:rPr>
          <w:rFonts w:ascii="Times" w:hAnsi="Times" w:cs="Arial"/>
          <w:b/>
          <w:smallCaps/>
          <w:sz w:val="24"/>
          <w:szCs w:val="24"/>
        </w:rPr>
        <w:t>L</w:t>
      </w:r>
      <w:r w:rsidR="006C2F07" w:rsidRPr="00C747C1">
        <w:rPr>
          <w:rFonts w:ascii="Times" w:hAnsi="Times" w:cs="Arial"/>
          <w:b/>
          <w:smallCaps/>
          <w:sz w:val="24"/>
          <w:szCs w:val="24"/>
        </w:rPr>
        <w:t xml:space="preserve">a </w:t>
      </w:r>
      <w:r w:rsidRPr="00C747C1">
        <w:rPr>
          <w:rFonts w:ascii="Times" w:hAnsi="Times" w:cs="Arial"/>
          <w:b/>
          <w:smallCaps/>
          <w:sz w:val="24"/>
          <w:szCs w:val="24"/>
        </w:rPr>
        <w:t>LXII Legislatura</w:t>
      </w:r>
      <w:r w:rsidR="006C2F07" w:rsidRPr="00C747C1">
        <w:rPr>
          <w:rFonts w:ascii="Times" w:hAnsi="Times" w:cs="Arial"/>
          <w:b/>
          <w:smallCaps/>
          <w:sz w:val="24"/>
          <w:szCs w:val="24"/>
        </w:rPr>
        <w:t xml:space="preserve"> federal (2012-2015)</w:t>
      </w:r>
    </w:p>
    <w:p w:rsidR="00AF1664" w:rsidRPr="00C747C1" w:rsidRDefault="00AF1664" w:rsidP="00AF1664">
      <w:pPr>
        <w:spacing w:after="0" w:line="240" w:lineRule="auto"/>
        <w:jc w:val="center"/>
        <w:rPr>
          <w:rFonts w:ascii="Times" w:hAnsi="Times" w:cs="Arial"/>
          <w:b/>
          <w:smallCaps/>
          <w:sz w:val="24"/>
          <w:szCs w:val="24"/>
        </w:rPr>
      </w:pPr>
    </w:p>
    <w:p w:rsidR="00DC45FD" w:rsidRDefault="009264AD" w:rsidP="00AF1664">
      <w:pPr>
        <w:spacing w:after="0" w:line="360" w:lineRule="auto"/>
        <w:jc w:val="both"/>
        <w:rPr>
          <w:rFonts w:ascii="Times" w:hAnsi="Times" w:cs="Arial"/>
          <w:sz w:val="24"/>
          <w:szCs w:val="24"/>
        </w:rPr>
      </w:pPr>
      <w:r>
        <w:rPr>
          <w:rFonts w:ascii="Times" w:hAnsi="Times" w:cs="Arial"/>
          <w:sz w:val="24"/>
          <w:szCs w:val="24"/>
        </w:rPr>
        <w:t xml:space="preserve">La lucha por la igualdad política entre hombres y mujeres ha sido lenta y sinuosa. </w:t>
      </w:r>
      <w:r w:rsidR="00F85123">
        <w:rPr>
          <w:rFonts w:ascii="Times" w:hAnsi="Times" w:cs="Arial"/>
          <w:sz w:val="24"/>
          <w:szCs w:val="24"/>
        </w:rPr>
        <w:t xml:space="preserve">Hoy es el día en el que ni en las democracias más avanzadas se ha alcanzado igualdad plena de participación entre hombres y mujeres en la representación política. A pesar de importantes movimientos </w:t>
      </w:r>
      <w:r w:rsidR="008B1899">
        <w:rPr>
          <w:rFonts w:ascii="Times" w:hAnsi="Times" w:cs="Arial"/>
          <w:sz w:val="24"/>
          <w:szCs w:val="24"/>
        </w:rPr>
        <w:t>sociales</w:t>
      </w:r>
      <w:r w:rsidR="00F85123">
        <w:rPr>
          <w:rFonts w:ascii="Times" w:hAnsi="Times" w:cs="Arial"/>
          <w:sz w:val="24"/>
          <w:szCs w:val="24"/>
        </w:rPr>
        <w:t xml:space="preserve">, de cambios radicales en las costumbres sociales y de olas de reformas en códigos, leyes y reglamentos, queda mucho por hacer para alcanzar una </w:t>
      </w:r>
      <w:r w:rsidR="00E12885" w:rsidRPr="00EA0BB4">
        <w:rPr>
          <w:rFonts w:ascii="Times" w:hAnsi="Times" w:cs="Arial"/>
          <w:sz w:val="24"/>
          <w:szCs w:val="24"/>
        </w:rPr>
        <w:t>verdadera democracia representativa e incluyente.</w:t>
      </w:r>
    </w:p>
    <w:p w:rsidR="00491DE3" w:rsidRDefault="005D354C" w:rsidP="00AF1664">
      <w:pPr>
        <w:spacing w:after="0" w:line="360" w:lineRule="auto"/>
        <w:ind w:firstLine="708"/>
        <w:jc w:val="both"/>
        <w:rPr>
          <w:rFonts w:ascii="Times" w:hAnsi="Times" w:cs="Arial"/>
          <w:sz w:val="24"/>
          <w:szCs w:val="24"/>
        </w:rPr>
      </w:pPr>
      <w:r>
        <w:rPr>
          <w:rFonts w:ascii="Times" w:hAnsi="Times" w:cs="Arial"/>
          <w:sz w:val="24"/>
          <w:szCs w:val="24"/>
        </w:rPr>
        <w:t xml:space="preserve">En México, </w:t>
      </w:r>
      <w:r w:rsidR="00F85123">
        <w:rPr>
          <w:rFonts w:ascii="Times" w:hAnsi="Times" w:cs="Arial"/>
          <w:sz w:val="24"/>
          <w:szCs w:val="24"/>
        </w:rPr>
        <w:t xml:space="preserve">no fue sino hasta </w:t>
      </w:r>
      <w:r>
        <w:rPr>
          <w:rFonts w:ascii="Times" w:hAnsi="Times" w:cs="Arial"/>
          <w:sz w:val="24"/>
          <w:szCs w:val="24"/>
        </w:rPr>
        <w:t xml:space="preserve">la </w:t>
      </w:r>
      <w:r w:rsidRPr="005D354C">
        <w:rPr>
          <w:rFonts w:ascii="Times" w:hAnsi="Times" w:cs="Arial"/>
          <w:sz w:val="24"/>
          <w:szCs w:val="24"/>
        </w:rPr>
        <w:t>reforma constitucional de 1953</w:t>
      </w:r>
      <w:r w:rsidR="00F85123">
        <w:rPr>
          <w:rFonts w:ascii="Times" w:hAnsi="Times" w:cs="Arial"/>
          <w:sz w:val="24"/>
          <w:szCs w:val="24"/>
        </w:rPr>
        <w:t xml:space="preserve"> que</w:t>
      </w:r>
      <w:r w:rsidRPr="005D354C">
        <w:rPr>
          <w:rFonts w:ascii="Times" w:hAnsi="Times" w:cs="Arial"/>
          <w:sz w:val="24"/>
          <w:szCs w:val="24"/>
        </w:rPr>
        <w:t xml:space="preserve"> </w:t>
      </w:r>
      <w:r>
        <w:rPr>
          <w:rFonts w:ascii="Times" w:hAnsi="Times" w:cs="Arial"/>
          <w:sz w:val="24"/>
          <w:szCs w:val="24"/>
        </w:rPr>
        <w:t>se reconoció el derecho</w:t>
      </w:r>
      <w:r w:rsidRPr="005D354C">
        <w:rPr>
          <w:rFonts w:ascii="Times" w:hAnsi="Times" w:cs="Arial"/>
          <w:sz w:val="24"/>
          <w:szCs w:val="24"/>
        </w:rPr>
        <w:t xml:space="preserve"> de las mujeres </w:t>
      </w:r>
      <w:r>
        <w:rPr>
          <w:rFonts w:ascii="Times" w:hAnsi="Times" w:cs="Arial"/>
          <w:sz w:val="24"/>
          <w:szCs w:val="24"/>
        </w:rPr>
        <w:t>a votar y ser votadas</w:t>
      </w:r>
      <w:r w:rsidR="00F85123">
        <w:rPr>
          <w:rFonts w:ascii="Times" w:hAnsi="Times" w:cs="Arial"/>
          <w:sz w:val="24"/>
          <w:szCs w:val="24"/>
        </w:rPr>
        <w:t>, es decir, a gozar de una ciudadanía plena</w:t>
      </w:r>
      <w:r>
        <w:rPr>
          <w:rFonts w:ascii="Times" w:hAnsi="Times" w:cs="Arial"/>
          <w:sz w:val="24"/>
          <w:szCs w:val="24"/>
        </w:rPr>
        <w:t>.</w:t>
      </w:r>
      <w:r w:rsidR="0018166F">
        <w:rPr>
          <w:rFonts w:ascii="Times" w:hAnsi="Times" w:cs="Arial"/>
          <w:sz w:val="24"/>
          <w:szCs w:val="24"/>
        </w:rPr>
        <w:t xml:space="preserve"> Sin embargo, tuvo que transcurrir más de un cuarto de siglo para que una mujer ocupara la gubernatura de un estado</w:t>
      </w:r>
      <w:r w:rsidR="00F85123">
        <w:rPr>
          <w:rFonts w:ascii="Times" w:hAnsi="Times" w:cs="Arial"/>
          <w:sz w:val="24"/>
          <w:szCs w:val="24"/>
        </w:rPr>
        <w:t>;</w:t>
      </w:r>
      <w:r w:rsidR="0018166F">
        <w:rPr>
          <w:rStyle w:val="Refdenotaalpie"/>
          <w:rFonts w:ascii="Times" w:hAnsi="Times" w:cs="Arial"/>
          <w:sz w:val="24"/>
          <w:szCs w:val="24"/>
        </w:rPr>
        <w:footnoteReference w:id="1"/>
      </w:r>
      <w:r w:rsidR="00E925BE">
        <w:rPr>
          <w:rFonts w:ascii="Times" w:hAnsi="Times" w:cs="Arial"/>
          <w:sz w:val="24"/>
          <w:szCs w:val="24"/>
        </w:rPr>
        <w:t xml:space="preserve"> </w:t>
      </w:r>
      <w:r w:rsidR="00F85123">
        <w:rPr>
          <w:rFonts w:ascii="Times" w:hAnsi="Times" w:cs="Arial"/>
          <w:sz w:val="24"/>
          <w:szCs w:val="24"/>
        </w:rPr>
        <w:t xml:space="preserve">hasta 1984 </w:t>
      </w:r>
      <w:r w:rsidR="008B1899">
        <w:rPr>
          <w:rFonts w:ascii="Times" w:hAnsi="Times" w:cs="Arial"/>
          <w:sz w:val="24"/>
          <w:szCs w:val="24"/>
        </w:rPr>
        <w:t xml:space="preserve">se le otorgó </w:t>
      </w:r>
      <w:r w:rsidR="00F85123">
        <w:rPr>
          <w:rFonts w:ascii="Times" w:hAnsi="Times" w:cs="Arial"/>
          <w:sz w:val="24"/>
          <w:szCs w:val="24"/>
        </w:rPr>
        <w:t xml:space="preserve">por primera vez a una mujer una patente de notario. </w:t>
      </w:r>
      <w:r w:rsidR="00E925BE">
        <w:rPr>
          <w:rFonts w:ascii="Times" w:hAnsi="Times" w:cs="Arial"/>
          <w:sz w:val="24"/>
          <w:szCs w:val="24"/>
        </w:rPr>
        <w:t xml:space="preserve">En el </w:t>
      </w:r>
      <w:r w:rsidR="00F85123">
        <w:rPr>
          <w:rFonts w:ascii="Times" w:hAnsi="Times" w:cs="Arial"/>
          <w:sz w:val="24"/>
          <w:szCs w:val="24"/>
        </w:rPr>
        <w:t xml:space="preserve">poder legislativo, </w:t>
      </w:r>
      <w:r w:rsidR="00E925BE">
        <w:rPr>
          <w:rFonts w:ascii="Times" w:hAnsi="Times" w:cs="Arial"/>
          <w:sz w:val="24"/>
          <w:szCs w:val="24"/>
        </w:rPr>
        <w:t xml:space="preserve">la representación política de la mujer </w:t>
      </w:r>
      <w:r w:rsidR="006950A4">
        <w:rPr>
          <w:rFonts w:ascii="Times" w:hAnsi="Times" w:cs="Arial"/>
          <w:sz w:val="24"/>
          <w:szCs w:val="24"/>
        </w:rPr>
        <w:t xml:space="preserve">también </w:t>
      </w:r>
      <w:r w:rsidR="00E925BE">
        <w:rPr>
          <w:rFonts w:ascii="Times" w:hAnsi="Times" w:cs="Arial"/>
          <w:sz w:val="24"/>
          <w:szCs w:val="24"/>
        </w:rPr>
        <w:t xml:space="preserve">ha sido gradual: </w:t>
      </w:r>
      <w:r w:rsidR="00F85123">
        <w:rPr>
          <w:rFonts w:ascii="Times" w:hAnsi="Times" w:cs="Arial"/>
          <w:sz w:val="24"/>
          <w:szCs w:val="24"/>
        </w:rPr>
        <w:t xml:space="preserve">recién en </w:t>
      </w:r>
      <w:r w:rsidR="003E72F2">
        <w:rPr>
          <w:rFonts w:ascii="Times" w:hAnsi="Times" w:cs="Arial"/>
          <w:sz w:val="24"/>
          <w:szCs w:val="24"/>
        </w:rPr>
        <w:t xml:space="preserve">1996 se estipuló en el código electoral </w:t>
      </w:r>
      <w:r w:rsidR="003E72F2" w:rsidRPr="003E72F2">
        <w:rPr>
          <w:rFonts w:ascii="Times" w:hAnsi="Times" w:cs="Arial"/>
          <w:sz w:val="24"/>
          <w:szCs w:val="24"/>
        </w:rPr>
        <w:t xml:space="preserve">que los partidos </w:t>
      </w:r>
      <w:r w:rsidR="00F85123">
        <w:rPr>
          <w:rFonts w:ascii="Times" w:hAnsi="Times" w:cs="Arial"/>
          <w:sz w:val="24"/>
          <w:szCs w:val="24"/>
        </w:rPr>
        <w:t xml:space="preserve">consideraran </w:t>
      </w:r>
      <w:r w:rsidR="003E72F2" w:rsidRPr="003E72F2">
        <w:rPr>
          <w:rFonts w:ascii="Times" w:hAnsi="Times" w:cs="Arial"/>
          <w:sz w:val="24"/>
          <w:szCs w:val="24"/>
        </w:rPr>
        <w:t>en sus</w:t>
      </w:r>
      <w:r w:rsidR="003E72F2">
        <w:rPr>
          <w:rFonts w:ascii="Times" w:hAnsi="Times" w:cs="Arial"/>
          <w:sz w:val="24"/>
          <w:szCs w:val="24"/>
        </w:rPr>
        <w:t xml:space="preserve"> </w:t>
      </w:r>
      <w:r w:rsidR="003E72F2" w:rsidRPr="003E72F2">
        <w:rPr>
          <w:rFonts w:ascii="Times" w:hAnsi="Times" w:cs="Arial"/>
          <w:sz w:val="24"/>
          <w:szCs w:val="24"/>
        </w:rPr>
        <w:t>estatutos que las candidaturas a diput</w:t>
      </w:r>
      <w:r w:rsidR="00F85123">
        <w:rPr>
          <w:rFonts w:ascii="Times" w:hAnsi="Times" w:cs="Arial"/>
          <w:sz w:val="24"/>
          <w:szCs w:val="24"/>
        </w:rPr>
        <w:t xml:space="preserve">ados y senadores no excediesen </w:t>
      </w:r>
      <w:r w:rsidR="003E72F2" w:rsidRPr="003E72F2">
        <w:rPr>
          <w:rFonts w:ascii="Times" w:hAnsi="Times" w:cs="Arial"/>
          <w:sz w:val="24"/>
          <w:szCs w:val="24"/>
        </w:rPr>
        <w:t>el 70</w:t>
      </w:r>
      <w:r w:rsidR="003E72F2">
        <w:rPr>
          <w:rFonts w:ascii="Times" w:hAnsi="Times" w:cs="Arial"/>
          <w:sz w:val="24"/>
          <w:szCs w:val="24"/>
        </w:rPr>
        <w:t>%</w:t>
      </w:r>
      <w:r w:rsidR="00F85123">
        <w:rPr>
          <w:rFonts w:ascii="Times" w:hAnsi="Times" w:cs="Arial"/>
          <w:sz w:val="24"/>
          <w:szCs w:val="24"/>
        </w:rPr>
        <w:t xml:space="preserve"> para un mismo género. </w:t>
      </w:r>
      <w:r w:rsidR="003E72F2">
        <w:rPr>
          <w:rFonts w:ascii="Times" w:hAnsi="Times" w:cs="Arial"/>
          <w:sz w:val="24"/>
          <w:szCs w:val="24"/>
        </w:rPr>
        <w:t xml:space="preserve">Para 2002 se estipuló en el </w:t>
      </w:r>
      <w:proofErr w:type="spellStart"/>
      <w:r w:rsidR="003E72F2">
        <w:rPr>
          <w:rFonts w:ascii="Times" w:hAnsi="Times" w:cs="Arial"/>
          <w:sz w:val="24"/>
          <w:szCs w:val="24"/>
        </w:rPr>
        <w:t>Cofipe</w:t>
      </w:r>
      <w:proofErr w:type="spellEnd"/>
      <w:r w:rsidR="003E72F2">
        <w:rPr>
          <w:rFonts w:ascii="Times" w:hAnsi="Times" w:cs="Arial"/>
          <w:sz w:val="24"/>
          <w:szCs w:val="24"/>
        </w:rPr>
        <w:t xml:space="preserve"> que l</w:t>
      </w:r>
      <w:r w:rsidR="003E72F2" w:rsidRPr="003E72F2">
        <w:rPr>
          <w:rFonts w:ascii="Times" w:hAnsi="Times" w:cs="Arial"/>
          <w:sz w:val="24"/>
          <w:szCs w:val="24"/>
        </w:rPr>
        <w:t>as listas de representación proporcional se</w:t>
      </w:r>
      <w:r w:rsidR="003E72F2">
        <w:rPr>
          <w:rFonts w:ascii="Times" w:hAnsi="Times" w:cs="Arial"/>
          <w:sz w:val="24"/>
          <w:szCs w:val="24"/>
        </w:rPr>
        <w:t xml:space="preserve"> </w:t>
      </w:r>
      <w:r w:rsidR="00AF1664">
        <w:rPr>
          <w:rFonts w:ascii="Times" w:hAnsi="Times" w:cs="Arial"/>
          <w:sz w:val="24"/>
          <w:szCs w:val="24"/>
        </w:rPr>
        <w:t xml:space="preserve">integrarían </w:t>
      </w:r>
      <w:r w:rsidR="003E72F2" w:rsidRPr="003E72F2">
        <w:rPr>
          <w:rFonts w:ascii="Times" w:hAnsi="Times" w:cs="Arial"/>
          <w:sz w:val="24"/>
          <w:szCs w:val="24"/>
        </w:rPr>
        <w:t>por segmentos de tres candidaturas y que en cada uno de los tres</w:t>
      </w:r>
      <w:r w:rsidR="003E72F2">
        <w:rPr>
          <w:rFonts w:ascii="Times" w:hAnsi="Times" w:cs="Arial"/>
          <w:sz w:val="24"/>
          <w:szCs w:val="24"/>
        </w:rPr>
        <w:t xml:space="preserve"> </w:t>
      </w:r>
      <w:r w:rsidR="003E72F2" w:rsidRPr="003E72F2">
        <w:rPr>
          <w:rFonts w:ascii="Times" w:hAnsi="Times" w:cs="Arial"/>
          <w:sz w:val="24"/>
          <w:szCs w:val="24"/>
        </w:rPr>
        <w:t>primer</w:t>
      </w:r>
      <w:r w:rsidR="003E72F2">
        <w:rPr>
          <w:rFonts w:ascii="Times" w:hAnsi="Times" w:cs="Arial"/>
          <w:sz w:val="24"/>
          <w:szCs w:val="24"/>
        </w:rPr>
        <w:t xml:space="preserve">os segmentos de cada lista </w:t>
      </w:r>
      <w:r w:rsidR="00AF1664">
        <w:rPr>
          <w:rFonts w:ascii="Times" w:hAnsi="Times" w:cs="Arial"/>
          <w:sz w:val="24"/>
          <w:szCs w:val="24"/>
        </w:rPr>
        <w:t xml:space="preserve">habría </w:t>
      </w:r>
      <w:r w:rsidR="003E72F2" w:rsidRPr="003E72F2">
        <w:rPr>
          <w:rFonts w:ascii="Times" w:hAnsi="Times" w:cs="Arial"/>
          <w:sz w:val="24"/>
          <w:szCs w:val="24"/>
        </w:rPr>
        <w:t>una candidatura de género distinto</w:t>
      </w:r>
      <w:r w:rsidR="003E72F2">
        <w:rPr>
          <w:rFonts w:ascii="Times" w:hAnsi="Times" w:cs="Arial"/>
          <w:sz w:val="24"/>
          <w:szCs w:val="24"/>
        </w:rPr>
        <w:t xml:space="preserve">. No obstante, los partidos políticos encontraron la forma de evadir dicha </w:t>
      </w:r>
      <w:r w:rsidR="006950A4">
        <w:rPr>
          <w:rFonts w:ascii="Times" w:hAnsi="Times" w:cs="Arial"/>
          <w:sz w:val="24"/>
          <w:szCs w:val="24"/>
        </w:rPr>
        <w:t xml:space="preserve">disposición </w:t>
      </w:r>
      <w:r w:rsidR="003E72F2">
        <w:rPr>
          <w:rFonts w:ascii="Times" w:hAnsi="Times" w:cs="Arial"/>
          <w:sz w:val="24"/>
          <w:szCs w:val="24"/>
        </w:rPr>
        <w:t xml:space="preserve">al postular mujeres como </w:t>
      </w:r>
      <w:r w:rsidR="003E72F2" w:rsidRPr="003E72F2">
        <w:rPr>
          <w:rFonts w:ascii="Times" w:hAnsi="Times" w:cs="Arial"/>
          <w:sz w:val="24"/>
          <w:szCs w:val="24"/>
        </w:rPr>
        <w:t xml:space="preserve">diputadas suplentes o </w:t>
      </w:r>
      <w:r w:rsidR="003E72F2">
        <w:rPr>
          <w:rFonts w:ascii="Times" w:hAnsi="Times" w:cs="Arial"/>
          <w:sz w:val="24"/>
          <w:szCs w:val="24"/>
        </w:rPr>
        <w:t xml:space="preserve">ubicarlas </w:t>
      </w:r>
      <w:r w:rsidR="003E72F2" w:rsidRPr="003E72F2">
        <w:rPr>
          <w:rFonts w:ascii="Times" w:hAnsi="Times" w:cs="Arial"/>
          <w:sz w:val="24"/>
          <w:szCs w:val="24"/>
        </w:rPr>
        <w:t xml:space="preserve">en los últimos lugares de las listas de </w:t>
      </w:r>
      <w:r w:rsidR="003E72F2">
        <w:rPr>
          <w:rFonts w:ascii="Times" w:hAnsi="Times" w:cs="Arial"/>
          <w:sz w:val="24"/>
          <w:szCs w:val="24"/>
        </w:rPr>
        <w:t>plurinominales</w:t>
      </w:r>
      <w:r w:rsidR="003E72F2" w:rsidRPr="003E72F2">
        <w:rPr>
          <w:rFonts w:ascii="Times" w:hAnsi="Times" w:cs="Arial"/>
          <w:sz w:val="24"/>
          <w:szCs w:val="24"/>
        </w:rPr>
        <w:t>.</w:t>
      </w:r>
    </w:p>
    <w:p w:rsidR="00491DE3" w:rsidRDefault="00D728E2" w:rsidP="00AF1664">
      <w:pPr>
        <w:spacing w:after="0" w:line="360" w:lineRule="auto"/>
        <w:ind w:firstLine="708"/>
        <w:jc w:val="both"/>
        <w:rPr>
          <w:rFonts w:ascii="Times" w:hAnsi="Times" w:cs="Arial"/>
          <w:sz w:val="24"/>
          <w:szCs w:val="24"/>
        </w:rPr>
      </w:pPr>
      <w:r>
        <w:rPr>
          <w:rFonts w:ascii="Times" w:hAnsi="Times" w:cs="Arial"/>
          <w:sz w:val="24"/>
          <w:szCs w:val="24"/>
        </w:rPr>
        <w:t>L</w:t>
      </w:r>
      <w:r w:rsidR="006A28E1">
        <w:rPr>
          <w:rFonts w:ascii="Times" w:hAnsi="Times" w:cs="Arial"/>
          <w:sz w:val="24"/>
          <w:szCs w:val="24"/>
        </w:rPr>
        <w:t>a reforma electoral de 2007-2008 estableció que las candidaturas de diputados y senadores se integrarían con al menos 40% de candidatos propietarios de un mismo género,</w:t>
      </w:r>
      <w:r w:rsidR="008B1899">
        <w:rPr>
          <w:rFonts w:ascii="Times" w:hAnsi="Times" w:cs="Arial"/>
          <w:sz w:val="24"/>
          <w:szCs w:val="24"/>
        </w:rPr>
        <w:t xml:space="preserve"> procurando llegar a la paridad</w:t>
      </w:r>
      <w:r w:rsidR="003A55C7">
        <w:rPr>
          <w:rFonts w:ascii="Times" w:hAnsi="Times" w:cs="Arial"/>
          <w:sz w:val="24"/>
          <w:szCs w:val="24"/>
        </w:rPr>
        <w:t>.</w:t>
      </w:r>
      <w:r w:rsidR="00620C0B">
        <w:rPr>
          <w:rFonts w:ascii="Times" w:hAnsi="Times" w:cs="Arial"/>
          <w:sz w:val="24"/>
          <w:szCs w:val="24"/>
        </w:rPr>
        <w:t xml:space="preserve"> Para la elección de 2009, los partidos políticos nuevamente eludieron la ley: 8 de 52 diputadas de mayoría relativa</w:t>
      </w:r>
      <w:r w:rsidR="00746214">
        <w:rPr>
          <w:rFonts w:ascii="Times" w:hAnsi="Times" w:cs="Arial"/>
          <w:sz w:val="24"/>
          <w:szCs w:val="24"/>
        </w:rPr>
        <w:t xml:space="preserve"> </w:t>
      </w:r>
      <w:r>
        <w:rPr>
          <w:rFonts w:ascii="Times" w:hAnsi="Times" w:cs="Arial"/>
          <w:sz w:val="24"/>
          <w:szCs w:val="24"/>
        </w:rPr>
        <w:t>–en un caso que la opinión pública conoció como el de “las Juanitas”</w:t>
      </w:r>
      <w:r>
        <w:rPr>
          <w:rFonts w:ascii="Times" w:hAnsi="Times" w:cs="Arial"/>
          <w:sz w:val="24"/>
          <w:szCs w:val="24"/>
        </w:rPr>
        <w:t>–</w:t>
      </w:r>
      <w:r w:rsidR="00620C0B">
        <w:rPr>
          <w:rFonts w:ascii="Times" w:hAnsi="Times" w:cs="Arial"/>
          <w:sz w:val="24"/>
          <w:szCs w:val="24"/>
        </w:rPr>
        <w:t xml:space="preserve"> renunciaron </w:t>
      </w:r>
      <w:r w:rsidR="00620C0B" w:rsidRPr="00620C0B">
        <w:rPr>
          <w:rFonts w:ascii="Times" w:hAnsi="Times" w:cs="Arial"/>
          <w:sz w:val="24"/>
          <w:szCs w:val="24"/>
        </w:rPr>
        <w:t xml:space="preserve">para dejar </w:t>
      </w:r>
      <w:r w:rsidR="00620C0B">
        <w:rPr>
          <w:rFonts w:ascii="Times" w:hAnsi="Times" w:cs="Arial"/>
          <w:sz w:val="24"/>
          <w:szCs w:val="24"/>
        </w:rPr>
        <w:t xml:space="preserve">su curul </w:t>
      </w:r>
      <w:r w:rsidR="00620C0B" w:rsidRPr="00620C0B">
        <w:rPr>
          <w:rFonts w:ascii="Times" w:hAnsi="Times" w:cs="Arial"/>
          <w:sz w:val="24"/>
          <w:szCs w:val="24"/>
        </w:rPr>
        <w:t>a representantes mascu</w:t>
      </w:r>
      <w:r>
        <w:rPr>
          <w:rFonts w:ascii="Times" w:hAnsi="Times" w:cs="Arial"/>
          <w:sz w:val="24"/>
          <w:szCs w:val="24"/>
        </w:rPr>
        <w:t>linos en la Cámara de Diputados</w:t>
      </w:r>
      <w:r w:rsidR="00620C0B" w:rsidRPr="00620C0B">
        <w:rPr>
          <w:rFonts w:ascii="Times" w:hAnsi="Times" w:cs="Arial"/>
          <w:sz w:val="24"/>
          <w:szCs w:val="24"/>
        </w:rPr>
        <w:t>.</w:t>
      </w:r>
    </w:p>
    <w:p w:rsidR="00D728E2" w:rsidRDefault="00D728E2" w:rsidP="00AF1664">
      <w:pPr>
        <w:spacing w:after="0" w:line="360" w:lineRule="auto"/>
        <w:ind w:firstLine="708"/>
        <w:jc w:val="both"/>
        <w:rPr>
          <w:rFonts w:ascii="Times" w:hAnsi="Times" w:cs="Arial"/>
          <w:sz w:val="24"/>
          <w:szCs w:val="24"/>
        </w:rPr>
      </w:pPr>
      <w:r>
        <w:rPr>
          <w:rFonts w:ascii="Times" w:hAnsi="Times" w:cs="Arial"/>
          <w:sz w:val="24"/>
          <w:szCs w:val="24"/>
        </w:rPr>
        <w:t xml:space="preserve">Para la elección de 2012, el poder judicial sentó un precedente de gran importancia: mediante </w:t>
      </w:r>
      <w:r>
        <w:rPr>
          <w:rFonts w:ascii="Times" w:hAnsi="Times" w:cs="Arial"/>
          <w:sz w:val="24"/>
          <w:szCs w:val="24"/>
        </w:rPr>
        <w:t>l</w:t>
      </w:r>
      <w:r w:rsidRPr="00EA0BB4">
        <w:rPr>
          <w:rFonts w:ascii="Times" w:hAnsi="Times" w:cs="Arial"/>
          <w:sz w:val="24"/>
          <w:szCs w:val="24"/>
        </w:rPr>
        <w:t>a sentencia</w:t>
      </w:r>
      <w:r>
        <w:rPr>
          <w:rFonts w:ascii="Times" w:hAnsi="Times" w:cs="Arial"/>
          <w:sz w:val="24"/>
          <w:szCs w:val="24"/>
        </w:rPr>
        <w:t xml:space="preserve"> </w:t>
      </w:r>
      <w:r w:rsidRPr="00DC7326">
        <w:rPr>
          <w:rFonts w:ascii="Times" w:hAnsi="Times" w:cs="Arial"/>
          <w:sz w:val="24"/>
          <w:szCs w:val="24"/>
        </w:rPr>
        <w:t xml:space="preserve">SUP-JDC-12624/2011 </w:t>
      </w:r>
      <w:r>
        <w:rPr>
          <w:rFonts w:ascii="Times" w:hAnsi="Times" w:cs="Arial"/>
          <w:sz w:val="24"/>
          <w:szCs w:val="24"/>
        </w:rPr>
        <w:t xml:space="preserve">y sus acumulados, </w:t>
      </w:r>
      <w:r w:rsidRPr="00EA0BB4">
        <w:rPr>
          <w:rFonts w:ascii="Times" w:hAnsi="Times" w:cs="Arial"/>
          <w:sz w:val="24"/>
          <w:szCs w:val="24"/>
        </w:rPr>
        <w:t xml:space="preserve">el Tribunal Electoral del Poder Judicial de la Federación resolvió que los partidos políticos están obligados a incluir a personas del mismo sexo como propietario y suplente de las </w:t>
      </w:r>
      <w:r w:rsidRPr="00EA0BB4">
        <w:rPr>
          <w:rFonts w:ascii="Times" w:hAnsi="Times" w:cs="Arial"/>
          <w:sz w:val="24"/>
          <w:szCs w:val="24"/>
        </w:rPr>
        <w:lastRenderedPageBreak/>
        <w:t xml:space="preserve">candidaturas a diputados y senadores, </w:t>
      </w:r>
      <w:r w:rsidR="00AF1664">
        <w:rPr>
          <w:rFonts w:ascii="Times" w:hAnsi="Times" w:cs="Arial"/>
          <w:sz w:val="24"/>
          <w:szCs w:val="24"/>
        </w:rPr>
        <w:t xml:space="preserve">esto </w:t>
      </w:r>
      <w:r w:rsidRPr="00EA0BB4">
        <w:rPr>
          <w:rFonts w:ascii="Times" w:hAnsi="Times" w:cs="Arial"/>
          <w:sz w:val="24"/>
          <w:szCs w:val="24"/>
        </w:rPr>
        <w:t>en relación con los</w:t>
      </w:r>
      <w:r w:rsidR="00AF1664">
        <w:rPr>
          <w:rFonts w:ascii="Times" w:hAnsi="Times" w:cs="Arial"/>
          <w:sz w:val="24"/>
          <w:szCs w:val="24"/>
        </w:rPr>
        <w:t xml:space="preserve"> artículos 219 y 220 del </w:t>
      </w:r>
      <w:proofErr w:type="spellStart"/>
      <w:r w:rsidR="00AF1664">
        <w:rPr>
          <w:rFonts w:ascii="Times" w:hAnsi="Times" w:cs="Arial"/>
          <w:sz w:val="24"/>
          <w:szCs w:val="24"/>
        </w:rPr>
        <w:t>Cofipe</w:t>
      </w:r>
      <w:proofErr w:type="spellEnd"/>
      <w:r>
        <w:rPr>
          <w:rFonts w:ascii="Times" w:hAnsi="Times" w:cs="Arial"/>
          <w:sz w:val="24"/>
          <w:szCs w:val="24"/>
        </w:rPr>
        <w:t>.</w:t>
      </w:r>
    </w:p>
    <w:p w:rsidR="00491DE3" w:rsidRDefault="00D728E2" w:rsidP="00AF1664">
      <w:pPr>
        <w:spacing w:after="0" w:line="360" w:lineRule="auto"/>
        <w:ind w:firstLine="708"/>
        <w:jc w:val="both"/>
        <w:rPr>
          <w:rFonts w:ascii="Times" w:hAnsi="Times" w:cs="Arial"/>
          <w:sz w:val="24"/>
          <w:szCs w:val="24"/>
        </w:rPr>
      </w:pPr>
      <w:r>
        <w:rPr>
          <w:rFonts w:ascii="Times" w:hAnsi="Times" w:cs="Arial"/>
          <w:sz w:val="24"/>
          <w:szCs w:val="24"/>
        </w:rPr>
        <w:t xml:space="preserve">El efecto fue notable: según datos oficiales preliminares, </w:t>
      </w:r>
      <w:r w:rsidR="00620C0B">
        <w:rPr>
          <w:rFonts w:ascii="Times" w:hAnsi="Times" w:cs="Arial"/>
          <w:sz w:val="24"/>
          <w:szCs w:val="24"/>
        </w:rPr>
        <w:t>l</w:t>
      </w:r>
      <w:r w:rsidR="00AF1664">
        <w:rPr>
          <w:rFonts w:ascii="Times" w:hAnsi="Times" w:cs="Arial"/>
          <w:sz w:val="24"/>
          <w:szCs w:val="24"/>
        </w:rPr>
        <w:t xml:space="preserve">a LXII Legislatura </w:t>
      </w:r>
      <w:r w:rsidR="007F2C05">
        <w:rPr>
          <w:rFonts w:ascii="Times" w:hAnsi="Times" w:cs="Arial"/>
          <w:sz w:val="24"/>
          <w:szCs w:val="24"/>
        </w:rPr>
        <w:t>(2012-2015)</w:t>
      </w:r>
      <w:r w:rsidR="00620C0B">
        <w:rPr>
          <w:rFonts w:ascii="Times" w:hAnsi="Times" w:cs="Arial"/>
          <w:sz w:val="24"/>
          <w:szCs w:val="24"/>
        </w:rPr>
        <w:t xml:space="preserve"> será la que cuente con el mayor número de mujeres en toda la historia política de </w:t>
      </w:r>
      <w:r w:rsidR="008B1899">
        <w:rPr>
          <w:rFonts w:ascii="Times" w:hAnsi="Times" w:cs="Arial"/>
          <w:sz w:val="24"/>
          <w:szCs w:val="24"/>
        </w:rPr>
        <w:t>México</w:t>
      </w:r>
      <w:r w:rsidR="00620C0B">
        <w:rPr>
          <w:rFonts w:ascii="Times" w:hAnsi="Times" w:cs="Arial"/>
          <w:sz w:val="24"/>
          <w:szCs w:val="24"/>
        </w:rPr>
        <w:t>: 187 diputadas</w:t>
      </w:r>
      <w:r>
        <w:rPr>
          <w:rFonts w:ascii="Times" w:hAnsi="Times" w:cs="Arial"/>
          <w:sz w:val="24"/>
          <w:szCs w:val="24"/>
        </w:rPr>
        <w:t xml:space="preserve"> (37.4% del total de legisladores)</w:t>
      </w:r>
      <w:r w:rsidR="00620C0B">
        <w:rPr>
          <w:rFonts w:ascii="Times" w:hAnsi="Times" w:cs="Arial"/>
          <w:sz w:val="24"/>
          <w:szCs w:val="24"/>
        </w:rPr>
        <w:t xml:space="preserve"> </w:t>
      </w:r>
      <w:r>
        <w:rPr>
          <w:rFonts w:ascii="Times" w:hAnsi="Times" w:cs="Arial"/>
          <w:sz w:val="24"/>
          <w:szCs w:val="24"/>
        </w:rPr>
        <w:t>–</w:t>
      </w:r>
      <w:r w:rsidR="00620C0B">
        <w:rPr>
          <w:rFonts w:ascii="Times" w:hAnsi="Times" w:cs="Arial"/>
          <w:sz w:val="24"/>
          <w:szCs w:val="24"/>
        </w:rPr>
        <w:t>90 por el principio de mayoría relativa y 97 por representación proporcional</w:t>
      </w:r>
      <w:r>
        <w:rPr>
          <w:rFonts w:ascii="Times" w:hAnsi="Times" w:cs="Arial"/>
          <w:sz w:val="24"/>
          <w:szCs w:val="24"/>
        </w:rPr>
        <w:t>–</w:t>
      </w:r>
      <w:r w:rsidR="00620C0B">
        <w:rPr>
          <w:rFonts w:ascii="Times" w:hAnsi="Times" w:cs="Arial"/>
          <w:sz w:val="24"/>
          <w:szCs w:val="24"/>
        </w:rPr>
        <w:t xml:space="preserve"> y 42 senadoras</w:t>
      </w:r>
      <w:r>
        <w:rPr>
          <w:rFonts w:ascii="Times" w:hAnsi="Times" w:cs="Arial"/>
          <w:sz w:val="24"/>
          <w:szCs w:val="24"/>
        </w:rPr>
        <w:t xml:space="preserve"> (32.81% del total)</w:t>
      </w:r>
      <w:r w:rsidR="00620C0B">
        <w:rPr>
          <w:rFonts w:ascii="Times" w:hAnsi="Times" w:cs="Arial"/>
          <w:sz w:val="24"/>
          <w:szCs w:val="24"/>
        </w:rPr>
        <w:t xml:space="preserve"> </w:t>
      </w:r>
      <w:r>
        <w:rPr>
          <w:rFonts w:ascii="Times" w:hAnsi="Times" w:cs="Arial"/>
          <w:sz w:val="24"/>
          <w:szCs w:val="24"/>
        </w:rPr>
        <w:t>–</w:t>
      </w:r>
      <w:r w:rsidR="008B1899">
        <w:rPr>
          <w:rFonts w:ascii="Times" w:hAnsi="Times" w:cs="Arial"/>
          <w:sz w:val="24"/>
          <w:szCs w:val="24"/>
        </w:rPr>
        <w:t xml:space="preserve">26 de mayoría </w:t>
      </w:r>
      <w:r>
        <w:rPr>
          <w:rFonts w:ascii="Times" w:hAnsi="Times" w:cs="Arial"/>
          <w:sz w:val="24"/>
          <w:szCs w:val="24"/>
        </w:rPr>
        <w:t xml:space="preserve">relativa </w:t>
      </w:r>
      <w:r w:rsidR="00620C0B">
        <w:rPr>
          <w:rFonts w:ascii="Times" w:hAnsi="Times" w:cs="Arial"/>
          <w:sz w:val="24"/>
          <w:szCs w:val="24"/>
        </w:rPr>
        <w:t>y 16 de representación proporcional</w:t>
      </w:r>
      <w:r>
        <w:rPr>
          <w:rFonts w:ascii="Times" w:hAnsi="Times" w:cs="Arial"/>
          <w:sz w:val="24"/>
          <w:szCs w:val="24"/>
        </w:rPr>
        <w:t>–</w:t>
      </w:r>
      <w:r w:rsidR="00620C0B">
        <w:rPr>
          <w:rFonts w:ascii="Times" w:hAnsi="Times" w:cs="Arial"/>
          <w:sz w:val="24"/>
          <w:szCs w:val="24"/>
        </w:rPr>
        <w:t xml:space="preserve">. Estas cifras superan </w:t>
      </w:r>
      <w:r w:rsidR="00620C0B" w:rsidRPr="002633E4">
        <w:rPr>
          <w:rFonts w:ascii="Times" w:hAnsi="Times" w:cs="Amerigo BT"/>
          <w:color w:val="000000"/>
          <w:sz w:val="24"/>
          <w:szCs w:val="24"/>
        </w:rPr>
        <w:t xml:space="preserve">el porcentaje promedio </w:t>
      </w:r>
      <w:r w:rsidR="007F2C05">
        <w:rPr>
          <w:rFonts w:ascii="Times" w:hAnsi="Times" w:cs="Amerigo BT"/>
          <w:color w:val="000000"/>
          <w:sz w:val="24"/>
          <w:szCs w:val="24"/>
        </w:rPr>
        <w:t xml:space="preserve">mundial </w:t>
      </w:r>
      <w:r w:rsidR="00620C0B" w:rsidRPr="002633E4">
        <w:rPr>
          <w:rFonts w:ascii="Times" w:hAnsi="Times" w:cs="Amerigo BT"/>
          <w:color w:val="000000"/>
          <w:sz w:val="24"/>
          <w:szCs w:val="24"/>
        </w:rPr>
        <w:t xml:space="preserve">de mujeres en legislaturas o </w:t>
      </w:r>
      <w:r w:rsidR="00620C0B">
        <w:rPr>
          <w:rFonts w:ascii="Times" w:hAnsi="Times" w:cs="Amerigo BT"/>
          <w:color w:val="000000"/>
          <w:sz w:val="24"/>
          <w:szCs w:val="24"/>
        </w:rPr>
        <w:t>parlamentos nacionales de 20.3</w:t>
      </w:r>
      <w:r w:rsidR="00620C0B" w:rsidRPr="002633E4">
        <w:rPr>
          <w:rFonts w:ascii="Times" w:hAnsi="Times" w:cs="Amerigo BT"/>
          <w:color w:val="000000"/>
          <w:sz w:val="24"/>
          <w:szCs w:val="24"/>
        </w:rPr>
        <w:t>%, para la</w:t>
      </w:r>
      <w:r w:rsidR="00620C0B">
        <w:rPr>
          <w:rFonts w:ascii="Times" w:hAnsi="Times" w:cs="Amerigo BT"/>
          <w:color w:val="000000"/>
          <w:sz w:val="24"/>
          <w:szCs w:val="24"/>
        </w:rPr>
        <w:t xml:space="preserve"> cámara baja (o única) y de 18.2</w:t>
      </w:r>
      <w:r w:rsidR="00620C0B" w:rsidRPr="002633E4">
        <w:rPr>
          <w:rFonts w:ascii="Times" w:hAnsi="Times" w:cs="Amerigo BT"/>
          <w:color w:val="000000"/>
          <w:sz w:val="24"/>
          <w:szCs w:val="24"/>
        </w:rPr>
        <w:t>%</w:t>
      </w:r>
      <w:r w:rsidR="00620C0B">
        <w:rPr>
          <w:rFonts w:ascii="Times" w:hAnsi="Times" w:cs="Amerigo BT"/>
          <w:color w:val="000000"/>
          <w:sz w:val="24"/>
          <w:szCs w:val="24"/>
        </w:rPr>
        <w:t xml:space="preserve"> </w:t>
      </w:r>
      <w:r w:rsidR="00620C0B" w:rsidRPr="002633E4">
        <w:rPr>
          <w:rFonts w:ascii="Times" w:hAnsi="Times" w:cs="Amerigo BT"/>
          <w:color w:val="000000"/>
          <w:sz w:val="24"/>
          <w:szCs w:val="24"/>
        </w:rPr>
        <w:t>para las cámaras altas o senados.</w:t>
      </w:r>
      <w:r w:rsidR="00620C0B">
        <w:rPr>
          <w:rStyle w:val="Refdenotaalpie"/>
          <w:rFonts w:ascii="Times" w:hAnsi="Times" w:cs="Amerigo BT"/>
          <w:color w:val="000000"/>
          <w:sz w:val="24"/>
          <w:szCs w:val="24"/>
        </w:rPr>
        <w:footnoteReference w:id="2"/>
      </w:r>
    </w:p>
    <w:p w:rsidR="00491DE3" w:rsidRDefault="00AF1664" w:rsidP="00AF1664">
      <w:pPr>
        <w:spacing w:after="0" w:line="360" w:lineRule="auto"/>
        <w:ind w:firstLine="708"/>
        <w:jc w:val="both"/>
        <w:rPr>
          <w:rFonts w:ascii="Times" w:hAnsi="Times" w:cs="Arial"/>
          <w:sz w:val="24"/>
          <w:szCs w:val="24"/>
        </w:rPr>
      </w:pPr>
      <w:r>
        <w:rPr>
          <w:rFonts w:ascii="Times" w:hAnsi="Times" w:cs="Arial"/>
          <w:sz w:val="24"/>
          <w:szCs w:val="24"/>
        </w:rPr>
        <w:t>L</w:t>
      </w:r>
      <w:r w:rsidR="008B1899">
        <w:rPr>
          <w:rFonts w:ascii="Times" w:hAnsi="Times" w:cs="Arial"/>
          <w:sz w:val="24"/>
          <w:szCs w:val="24"/>
        </w:rPr>
        <w:t xml:space="preserve">a </w:t>
      </w:r>
      <w:r w:rsidR="00746214">
        <w:rPr>
          <w:rFonts w:ascii="Times" w:hAnsi="Times" w:cs="Arial"/>
          <w:sz w:val="24"/>
          <w:szCs w:val="24"/>
        </w:rPr>
        <w:t xml:space="preserve">presente ponencia </w:t>
      </w:r>
      <w:r w:rsidR="00F56A60">
        <w:rPr>
          <w:rFonts w:ascii="Times" w:hAnsi="Times" w:cs="Arial"/>
          <w:sz w:val="24"/>
          <w:szCs w:val="24"/>
        </w:rPr>
        <w:t xml:space="preserve">analiza </w:t>
      </w:r>
      <w:r>
        <w:rPr>
          <w:rFonts w:ascii="Times" w:hAnsi="Times" w:cs="Arial"/>
          <w:sz w:val="24"/>
          <w:szCs w:val="24"/>
        </w:rPr>
        <w:t xml:space="preserve">entonces </w:t>
      </w:r>
      <w:r w:rsidR="00E12885" w:rsidRPr="00EA0BB4">
        <w:rPr>
          <w:rFonts w:ascii="Times" w:hAnsi="Times" w:cs="Arial"/>
          <w:sz w:val="24"/>
          <w:szCs w:val="24"/>
        </w:rPr>
        <w:t xml:space="preserve">la participación y representación política de las mujeres en México </w:t>
      </w:r>
      <w:r w:rsidR="00F56A60">
        <w:rPr>
          <w:rFonts w:ascii="Times" w:hAnsi="Times" w:cs="Arial"/>
          <w:sz w:val="24"/>
          <w:szCs w:val="24"/>
        </w:rPr>
        <w:t xml:space="preserve">en el ámbito </w:t>
      </w:r>
      <w:r w:rsidR="00E12885" w:rsidRPr="00EA0BB4">
        <w:rPr>
          <w:rFonts w:ascii="Times" w:hAnsi="Times" w:cs="Arial"/>
          <w:sz w:val="24"/>
          <w:szCs w:val="24"/>
        </w:rPr>
        <w:t>federal, centrando su atención en la LXII Legislatura.</w:t>
      </w:r>
      <w:r w:rsidR="00890101">
        <w:rPr>
          <w:rFonts w:ascii="Times" w:hAnsi="Times" w:cs="Arial"/>
          <w:sz w:val="24"/>
          <w:szCs w:val="24"/>
        </w:rPr>
        <w:t xml:space="preserve"> </w:t>
      </w:r>
      <w:r w:rsidR="00F56A60">
        <w:rPr>
          <w:rFonts w:ascii="Times" w:hAnsi="Times" w:cs="Arial"/>
          <w:sz w:val="24"/>
          <w:szCs w:val="24"/>
        </w:rPr>
        <w:t xml:space="preserve">La premisa es que, si bien cambios legales como el referido contribuyen a una mayor igualdad, </w:t>
      </w:r>
      <w:r w:rsidR="00606B48">
        <w:rPr>
          <w:rFonts w:ascii="Times" w:hAnsi="Times" w:cs="Arial"/>
          <w:sz w:val="24"/>
          <w:szCs w:val="24"/>
        </w:rPr>
        <w:t xml:space="preserve">el incremento de la representación política de la mujer </w:t>
      </w:r>
      <w:r w:rsidR="00606B48" w:rsidRPr="00EA0BB4">
        <w:rPr>
          <w:rFonts w:ascii="Times" w:hAnsi="Times" w:cs="Arial"/>
          <w:sz w:val="24"/>
          <w:szCs w:val="24"/>
        </w:rPr>
        <w:t>se</w:t>
      </w:r>
      <w:r w:rsidR="001227DA">
        <w:rPr>
          <w:rFonts w:ascii="Times" w:hAnsi="Times" w:cs="Arial"/>
          <w:sz w:val="24"/>
          <w:szCs w:val="24"/>
        </w:rPr>
        <w:t xml:space="preserve"> </w:t>
      </w:r>
      <w:r w:rsidR="00F56A60">
        <w:rPr>
          <w:rFonts w:ascii="Times" w:hAnsi="Times" w:cs="Arial"/>
          <w:sz w:val="24"/>
          <w:szCs w:val="24"/>
        </w:rPr>
        <w:t xml:space="preserve">explica </w:t>
      </w:r>
      <w:r w:rsidR="001227DA">
        <w:rPr>
          <w:rFonts w:ascii="Times" w:hAnsi="Times" w:cs="Arial"/>
          <w:sz w:val="24"/>
          <w:szCs w:val="24"/>
        </w:rPr>
        <w:t xml:space="preserve">en buena medida </w:t>
      </w:r>
      <w:r w:rsidR="00F56A60">
        <w:rPr>
          <w:rFonts w:ascii="Times" w:hAnsi="Times" w:cs="Arial"/>
          <w:sz w:val="24"/>
          <w:szCs w:val="24"/>
        </w:rPr>
        <w:t xml:space="preserve">por </w:t>
      </w:r>
      <w:r w:rsidR="001227DA">
        <w:rPr>
          <w:rFonts w:ascii="Times" w:hAnsi="Times" w:cs="Arial"/>
          <w:sz w:val="24"/>
          <w:szCs w:val="24"/>
        </w:rPr>
        <w:t>la lucha de diversas mujeres, organizaciones y grupos en pro de la equidad e</w:t>
      </w:r>
      <w:r w:rsidR="00F56A60">
        <w:rPr>
          <w:rFonts w:ascii="Times" w:hAnsi="Times" w:cs="Arial"/>
          <w:sz w:val="24"/>
          <w:szCs w:val="24"/>
        </w:rPr>
        <w:t xml:space="preserve">ntre hombres y mujeres, lo cual, a su vez, </w:t>
      </w:r>
      <w:r w:rsidR="001227DA">
        <w:rPr>
          <w:rFonts w:ascii="Times" w:hAnsi="Times" w:cs="Arial"/>
          <w:sz w:val="24"/>
          <w:szCs w:val="24"/>
        </w:rPr>
        <w:t>ha cristalizado en reformas electora</w:t>
      </w:r>
      <w:r w:rsidR="00491DE3">
        <w:rPr>
          <w:rFonts w:ascii="Times" w:hAnsi="Times" w:cs="Arial"/>
          <w:sz w:val="24"/>
          <w:szCs w:val="24"/>
        </w:rPr>
        <w:t>les de discriminación positiva.</w:t>
      </w:r>
    </w:p>
    <w:p w:rsidR="00606B48" w:rsidRDefault="00F56A60" w:rsidP="00AF1664">
      <w:pPr>
        <w:spacing w:after="0" w:line="360" w:lineRule="auto"/>
        <w:ind w:firstLine="708"/>
        <w:jc w:val="both"/>
        <w:rPr>
          <w:rFonts w:ascii="Times" w:hAnsi="Times" w:cs="Arial"/>
          <w:sz w:val="24"/>
          <w:szCs w:val="24"/>
        </w:rPr>
      </w:pPr>
      <w:r>
        <w:rPr>
          <w:rFonts w:ascii="Times" w:hAnsi="Times" w:cs="Arial"/>
          <w:sz w:val="24"/>
          <w:szCs w:val="24"/>
        </w:rPr>
        <w:t xml:space="preserve">La ponencia </w:t>
      </w:r>
      <w:r w:rsidR="00E25B61">
        <w:rPr>
          <w:rFonts w:ascii="Times" w:hAnsi="Times" w:cs="Arial"/>
          <w:sz w:val="24"/>
          <w:szCs w:val="24"/>
        </w:rPr>
        <w:t xml:space="preserve">se divide </w:t>
      </w:r>
      <w:r>
        <w:rPr>
          <w:rFonts w:ascii="Times" w:hAnsi="Times" w:cs="Arial"/>
          <w:sz w:val="24"/>
          <w:szCs w:val="24"/>
        </w:rPr>
        <w:t>en tres apartados.</w:t>
      </w:r>
      <w:r w:rsidR="00606B48" w:rsidRPr="00EA0BB4">
        <w:rPr>
          <w:rFonts w:ascii="Times" w:hAnsi="Times" w:cs="Arial"/>
          <w:sz w:val="24"/>
          <w:szCs w:val="24"/>
        </w:rPr>
        <w:t xml:space="preserve"> En el primero se </w:t>
      </w:r>
      <w:r>
        <w:rPr>
          <w:rFonts w:ascii="Times" w:hAnsi="Times" w:cs="Arial"/>
          <w:sz w:val="24"/>
          <w:szCs w:val="24"/>
        </w:rPr>
        <w:t xml:space="preserve">hace un repaso general de la cuestión de la </w:t>
      </w:r>
      <w:r w:rsidR="00606B48" w:rsidRPr="00EA0BB4">
        <w:rPr>
          <w:rFonts w:ascii="Times" w:hAnsi="Times" w:cs="Arial"/>
          <w:sz w:val="24"/>
          <w:szCs w:val="24"/>
        </w:rPr>
        <w:t>igualdad p</w:t>
      </w:r>
      <w:r w:rsidR="00E25B61">
        <w:rPr>
          <w:rFonts w:ascii="Times" w:hAnsi="Times" w:cs="Arial"/>
          <w:sz w:val="24"/>
          <w:szCs w:val="24"/>
        </w:rPr>
        <w:t>olítica entre mujeres y hombres</w:t>
      </w:r>
      <w:r>
        <w:rPr>
          <w:rFonts w:ascii="Times" w:hAnsi="Times" w:cs="Arial"/>
          <w:sz w:val="24"/>
          <w:szCs w:val="24"/>
        </w:rPr>
        <w:t xml:space="preserve"> (incluyendo experiencias internacionales)</w:t>
      </w:r>
      <w:r w:rsidR="00E25B61">
        <w:rPr>
          <w:rFonts w:ascii="Times" w:hAnsi="Times" w:cs="Arial"/>
          <w:sz w:val="24"/>
          <w:szCs w:val="24"/>
        </w:rPr>
        <w:t xml:space="preserve">; en </w:t>
      </w:r>
      <w:r w:rsidR="00606B48" w:rsidRPr="00EA0BB4">
        <w:rPr>
          <w:rFonts w:ascii="Times" w:hAnsi="Times" w:cs="Arial"/>
          <w:sz w:val="24"/>
          <w:szCs w:val="24"/>
        </w:rPr>
        <w:t xml:space="preserve">el segundo </w:t>
      </w:r>
      <w:r>
        <w:rPr>
          <w:rFonts w:ascii="Times" w:hAnsi="Times" w:cs="Arial"/>
          <w:sz w:val="24"/>
          <w:szCs w:val="24"/>
        </w:rPr>
        <w:t xml:space="preserve">se analiza el proceso legislativo y judicial que llevó a la aprobación de la legislación más avanzada </w:t>
      </w:r>
      <w:r w:rsidR="00606B48" w:rsidRPr="00EA0BB4">
        <w:rPr>
          <w:rFonts w:ascii="Times" w:hAnsi="Times" w:cs="Arial"/>
          <w:sz w:val="24"/>
          <w:szCs w:val="24"/>
        </w:rPr>
        <w:t xml:space="preserve">en materia de equidad de género </w:t>
      </w:r>
      <w:r>
        <w:rPr>
          <w:rFonts w:ascii="Times" w:hAnsi="Times" w:cs="Arial"/>
          <w:sz w:val="24"/>
          <w:szCs w:val="24"/>
        </w:rPr>
        <w:t xml:space="preserve">–con énfasis en el proceso electoral federal 2011-2012 y la subsecuente </w:t>
      </w:r>
      <w:r w:rsidR="00606B48" w:rsidRPr="00EA0BB4">
        <w:rPr>
          <w:rFonts w:ascii="Times" w:hAnsi="Times" w:cs="Arial"/>
          <w:sz w:val="24"/>
          <w:szCs w:val="24"/>
        </w:rPr>
        <w:t>integración de la LXII Legislatura</w:t>
      </w:r>
      <w:r>
        <w:rPr>
          <w:rFonts w:ascii="Times" w:hAnsi="Times" w:cs="Arial"/>
          <w:sz w:val="24"/>
          <w:szCs w:val="24"/>
        </w:rPr>
        <w:t>–</w:t>
      </w:r>
      <w:r>
        <w:rPr>
          <w:rFonts w:ascii="Times" w:hAnsi="Times" w:cs="Arial"/>
          <w:sz w:val="24"/>
          <w:szCs w:val="24"/>
        </w:rPr>
        <w:t xml:space="preserve">; en el tercero, se da cuenta del peso de los movimientos sociales para lograr los avances descritos y cómo influyeron </w:t>
      </w:r>
      <w:r w:rsidR="00AF1664">
        <w:rPr>
          <w:rFonts w:ascii="Times" w:hAnsi="Times" w:cs="Arial"/>
          <w:sz w:val="24"/>
          <w:szCs w:val="24"/>
        </w:rPr>
        <w:t xml:space="preserve">a su vez </w:t>
      </w:r>
      <w:r>
        <w:rPr>
          <w:rFonts w:ascii="Times" w:hAnsi="Times" w:cs="Arial"/>
          <w:sz w:val="24"/>
          <w:szCs w:val="24"/>
        </w:rPr>
        <w:t>en los cambios legislativos y judiciales</w:t>
      </w:r>
      <w:r w:rsidR="00AF1664">
        <w:rPr>
          <w:rFonts w:ascii="Times" w:hAnsi="Times" w:cs="Arial"/>
          <w:sz w:val="24"/>
          <w:szCs w:val="24"/>
        </w:rPr>
        <w:t>,</w:t>
      </w:r>
      <w:r>
        <w:rPr>
          <w:rFonts w:ascii="Times" w:hAnsi="Times" w:cs="Arial"/>
          <w:sz w:val="24"/>
          <w:szCs w:val="24"/>
        </w:rPr>
        <w:t xml:space="preserve"> objeto del apartado segundo.</w:t>
      </w:r>
    </w:p>
    <w:p w:rsidR="00C747C1" w:rsidRDefault="00C747C1" w:rsidP="00AF1664">
      <w:pPr>
        <w:spacing w:after="0" w:line="360" w:lineRule="auto"/>
        <w:jc w:val="both"/>
        <w:rPr>
          <w:rFonts w:ascii="Times" w:hAnsi="Times" w:cs="Arial"/>
          <w:sz w:val="24"/>
          <w:szCs w:val="24"/>
        </w:rPr>
      </w:pPr>
    </w:p>
    <w:sectPr w:rsidR="00C747C1" w:rsidSect="00716F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198" w:rsidRDefault="00543198" w:rsidP="002633E4">
      <w:pPr>
        <w:spacing w:after="0" w:line="240" w:lineRule="auto"/>
      </w:pPr>
      <w:r>
        <w:separator/>
      </w:r>
    </w:p>
  </w:endnote>
  <w:endnote w:type="continuationSeparator" w:id="0">
    <w:p w:rsidR="00543198" w:rsidRDefault="00543198" w:rsidP="00263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merigo BT">
    <w:altName w:val="Amerigo B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198" w:rsidRDefault="00543198" w:rsidP="002633E4">
      <w:pPr>
        <w:spacing w:after="0" w:line="240" w:lineRule="auto"/>
      </w:pPr>
      <w:r>
        <w:separator/>
      </w:r>
    </w:p>
  </w:footnote>
  <w:footnote w:type="continuationSeparator" w:id="0">
    <w:p w:rsidR="00543198" w:rsidRDefault="00543198" w:rsidP="002633E4">
      <w:pPr>
        <w:spacing w:after="0" w:line="240" w:lineRule="auto"/>
      </w:pPr>
      <w:r>
        <w:continuationSeparator/>
      </w:r>
    </w:p>
  </w:footnote>
  <w:footnote w:id="1">
    <w:p w:rsidR="0018166F" w:rsidRPr="0018166F" w:rsidRDefault="0018166F" w:rsidP="0018166F">
      <w:pPr>
        <w:pStyle w:val="Textonotapie"/>
        <w:jc w:val="both"/>
        <w:rPr>
          <w:rFonts w:ascii="Times" w:hAnsi="Times"/>
        </w:rPr>
      </w:pPr>
      <w:r w:rsidRPr="0018166F">
        <w:rPr>
          <w:rStyle w:val="Refdenotaalpie"/>
          <w:rFonts w:ascii="Times" w:hAnsi="Times"/>
        </w:rPr>
        <w:footnoteRef/>
      </w:r>
      <w:r w:rsidRPr="0018166F">
        <w:rPr>
          <w:rFonts w:ascii="Times" w:hAnsi="Times"/>
        </w:rPr>
        <w:t xml:space="preserve"> Griselda Álvarez Ponce de León ganó las elecciones a la gubernatura de Colima en 1979.</w:t>
      </w:r>
    </w:p>
  </w:footnote>
  <w:footnote w:id="2">
    <w:p w:rsidR="00620C0B" w:rsidRPr="0018166F" w:rsidRDefault="00620C0B" w:rsidP="00620C0B">
      <w:pPr>
        <w:pStyle w:val="Textonotapie"/>
        <w:jc w:val="both"/>
        <w:rPr>
          <w:rFonts w:ascii="Times" w:hAnsi="Times"/>
        </w:rPr>
      </w:pPr>
      <w:r w:rsidRPr="0018166F">
        <w:rPr>
          <w:rStyle w:val="Refdenotaalpie"/>
          <w:rFonts w:ascii="Times" w:hAnsi="Times"/>
        </w:rPr>
        <w:footnoteRef/>
      </w:r>
      <w:r w:rsidRPr="0018166F">
        <w:rPr>
          <w:rFonts w:ascii="Times" w:hAnsi="Times"/>
        </w:rPr>
        <w:t xml:space="preserve"> Fuente: Inter-</w:t>
      </w:r>
      <w:proofErr w:type="spellStart"/>
      <w:r w:rsidRPr="0018166F">
        <w:rPr>
          <w:rFonts w:ascii="Times" w:hAnsi="Times"/>
        </w:rPr>
        <w:t>Parliamentary</w:t>
      </w:r>
      <w:proofErr w:type="spellEnd"/>
      <w:r w:rsidRPr="0018166F">
        <w:rPr>
          <w:rFonts w:ascii="Times" w:hAnsi="Times"/>
        </w:rPr>
        <w:t xml:space="preserve"> </w:t>
      </w:r>
      <w:proofErr w:type="spellStart"/>
      <w:r w:rsidRPr="0018166F">
        <w:rPr>
          <w:rFonts w:ascii="Times" w:hAnsi="Times"/>
        </w:rPr>
        <w:t>Union</w:t>
      </w:r>
      <w:proofErr w:type="spellEnd"/>
      <w:r w:rsidRPr="0018166F">
        <w:rPr>
          <w:rFonts w:ascii="Times" w:hAnsi="Times"/>
        </w:rPr>
        <w:t>, datos al 30 junio de 2012. Disponible en http://www.ipu.org/wmn-e/world.htm</w:t>
      </w:r>
    </w:p>
    <w:p w:rsidR="00620C0B" w:rsidRPr="0018166F" w:rsidRDefault="00620C0B" w:rsidP="00620C0B">
      <w:pPr>
        <w:pStyle w:val="Textonotapie"/>
        <w:jc w:val="both"/>
        <w:rPr>
          <w:rFonts w:ascii="Times" w:hAnsi="Time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7BAC"/>
    <w:rsid w:val="00055677"/>
    <w:rsid w:val="000B65C2"/>
    <w:rsid w:val="000D4D6D"/>
    <w:rsid w:val="000E050C"/>
    <w:rsid w:val="001227DA"/>
    <w:rsid w:val="0018166F"/>
    <w:rsid w:val="00233DD9"/>
    <w:rsid w:val="002633E4"/>
    <w:rsid w:val="00283C3F"/>
    <w:rsid w:val="002A59F6"/>
    <w:rsid w:val="002D71E4"/>
    <w:rsid w:val="003A55C7"/>
    <w:rsid w:val="003E72F2"/>
    <w:rsid w:val="00402F4C"/>
    <w:rsid w:val="00482D8E"/>
    <w:rsid w:val="00491DE3"/>
    <w:rsid w:val="00506249"/>
    <w:rsid w:val="00543198"/>
    <w:rsid w:val="005D354C"/>
    <w:rsid w:val="005E220E"/>
    <w:rsid w:val="00606B48"/>
    <w:rsid w:val="00620C0B"/>
    <w:rsid w:val="00661188"/>
    <w:rsid w:val="006950A4"/>
    <w:rsid w:val="006A28E1"/>
    <w:rsid w:val="006A7EA5"/>
    <w:rsid w:val="006B05BC"/>
    <w:rsid w:val="006C2F07"/>
    <w:rsid w:val="00716F42"/>
    <w:rsid w:val="00746214"/>
    <w:rsid w:val="007F08EB"/>
    <w:rsid w:val="007F2C05"/>
    <w:rsid w:val="00890101"/>
    <w:rsid w:val="008B1899"/>
    <w:rsid w:val="009264AD"/>
    <w:rsid w:val="00971249"/>
    <w:rsid w:val="009A275C"/>
    <w:rsid w:val="00A739BE"/>
    <w:rsid w:val="00A86BB2"/>
    <w:rsid w:val="00AF1664"/>
    <w:rsid w:val="00B17BAC"/>
    <w:rsid w:val="00B4026A"/>
    <w:rsid w:val="00B52808"/>
    <w:rsid w:val="00BB531F"/>
    <w:rsid w:val="00C747C1"/>
    <w:rsid w:val="00C913CB"/>
    <w:rsid w:val="00D728E2"/>
    <w:rsid w:val="00DC45FD"/>
    <w:rsid w:val="00DC7326"/>
    <w:rsid w:val="00E12885"/>
    <w:rsid w:val="00E14D24"/>
    <w:rsid w:val="00E25B61"/>
    <w:rsid w:val="00E542A7"/>
    <w:rsid w:val="00E925BE"/>
    <w:rsid w:val="00EA0BB4"/>
    <w:rsid w:val="00F56A60"/>
    <w:rsid w:val="00F8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F4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747C1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633E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633E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633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4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1554AD-6A8D-4DBD-A097-4BF8A2F4D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673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Uziel G</dc:creator>
  <cp:lastModifiedBy>IFE</cp:lastModifiedBy>
  <cp:revision>2</cp:revision>
  <dcterms:created xsi:type="dcterms:W3CDTF">2012-08-21T02:49:00Z</dcterms:created>
  <dcterms:modified xsi:type="dcterms:W3CDTF">2012-08-21T02:49:00Z</dcterms:modified>
</cp:coreProperties>
</file>