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FDCA8" w14:textId="792D3055" w:rsidR="00BF2E7F" w:rsidRPr="00CD5A7D" w:rsidRDefault="00007F20"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center"/>
        <w:rPr>
          <w:rFonts w:ascii="Times New Roman" w:hAnsi="Times New Roman" w:cs="Times New Roman"/>
          <w:b/>
          <w:bCs/>
        </w:rPr>
      </w:pPr>
      <w:r>
        <w:rPr>
          <w:rFonts w:ascii="Times New Roman" w:hAnsi="Times New Roman" w:cs="Times New Roman"/>
          <w:b/>
          <w:bCs/>
        </w:rPr>
        <w:t>Partidos p</w:t>
      </w:r>
      <w:r w:rsidR="00BF2E7F" w:rsidRPr="00CD5A7D">
        <w:rPr>
          <w:rFonts w:ascii="Times New Roman" w:hAnsi="Times New Roman" w:cs="Times New Roman"/>
          <w:b/>
          <w:bCs/>
        </w:rPr>
        <w:t xml:space="preserve">olíticos y candidaturas comunes </w:t>
      </w:r>
    </w:p>
    <w:p w14:paraId="2B112094" w14:textId="77777777" w:rsidR="006509A4" w:rsidRPr="00CD5A7D" w:rsidRDefault="006509A4"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both"/>
        <w:rPr>
          <w:rFonts w:ascii="Times New Roman" w:eastAsia="Arial" w:hAnsi="Times New Roman" w:cs="Times New Roman"/>
          <w:b/>
          <w:bCs/>
        </w:rPr>
      </w:pPr>
    </w:p>
    <w:p w14:paraId="4B1B97DF" w14:textId="33180F41" w:rsidR="00BF2E7F" w:rsidRDefault="006509A4"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right"/>
        <w:outlineLvl w:val="0"/>
        <w:rPr>
          <w:rFonts w:ascii="Times New Roman" w:eastAsia="Arial" w:hAnsi="Times New Roman" w:cs="Times New Roman"/>
        </w:rPr>
      </w:pPr>
      <w:proofErr w:type="spellStart"/>
      <w:r w:rsidRPr="00CD5A7D">
        <w:rPr>
          <w:rFonts w:ascii="Times New Roman" w:eastAsia="Arial" w:hAnsi="Times New Roman" w:cs="Times New Roman"/>
        </w:rPr>
        <w:t>Ixel</w:t>
      </w:r>
      <w:proofErr w:type="spellEnd"/>
      <w:r w:rsidRPr="00CD5A7D">
        <w:rPr>
          <w:rFonts w:ascii="Times New Roman" w:eastAsia="Arial" w:hAnsi="Times New Roman" w:cs="Times New Roman"/>
        </w:rPr>
        <w:t xml:space="preserve"> Mendoza Aragón</w:t>
      </w:r>
      <w:r w:rsidR="00743173">
        <w:rPr>
          <w:rStyle w:val="Refdenotaalpie"/>
          <w:rFonts w:ascii="Times New Roman" w:eastAsia="Arial" w:hAnsi="Times New Roman" w:cs="Times New Roman"/>
        </w:rPr>
        <w:footnoteReference w:id="1"/>
      </w:r>
    </w:p>
    <w:p w14:paraId="44C475D8" w14:textId="71B65966" w:rsidR="00600403" w:rsidRPr="00CD5A7D" w:rsidRDefault="00600403"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right"/>
        <w:outlineLvl w:val="0"/>
        <w:rPr>
          <w:rFonts w:ascii="Times New Roman" w:eastAsia="Arial" w:hAnsi="Times New Roman" w:cs="Times New Roman"/>
        </w:rPr>
      </w:pPr>
      <w:r>
        <w:rPr>
          <w:rFonts w:ascii="Times New Roman" w:eastAsia="Arial" w:hAnsi="Times New Roman" w:cs="Times New Roman"/>
        </w:rPr>
        <w:t>Claudia Ortiz</w:t>
      </w:r>
      <w:r w:rsidRPr="00600403">
        <w:rPr>
          <w:rFonts w:ascii="Times New Roman" w:eastAsia="Arial" w:hAnsi="Times New Roman" w:cs="Times New Roman"/>
          <w:vertAlign w:val="superscript"/>
        </w:rPr>
        <w:t>2</w:t>
      </w:r>
    </w:p>
    <w:p w14:paraId="7C9E1223" w14:textId="77777777" w:rsidR="00BF2E7F" w:rsidRPr="00600403" w:rsidRDefault="00BF2E7F"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both"/>
        <w:outlineLvl w:val="0"/>
        <w:rPr>
          <w:rFonts w:ascii="Times New Roman" w:eastAsia="Arial" w:hAnsi="Times New Roman" w:cs="Times New Roman"/>
          <w:b/>
          <w:bCs/>
          <w:vertAlign w:val="superscript"/>
        </w:rPr>
      </w:pPr>
      <w:r w:rsidRPr="00CD5A7D">
        <w:rPr>
          <w:rFonts w:ascii="Times New Roman" w:hAnsi="Times New Roman" w:cs="Times New Roman"/>
          <w:b/>
          <w:bCs/>
        </w:rPr>
        <w:t>Introducción</w:t>
      </w:r>
    </w:p>
    <w:p w14:paraId="572AB788" w14:textId="77777777" w:rsidR="00BF2E7F" w:rsidRPr="00CD5A7D" w:rsidRDefault="00BF2E7F"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both"/>
        <w:rPr>
          <w:rFonts w:ascii="Times New Roman" w:eastAsia="Arial" w:hAnsi="Times New Roman" w:cs="Times New Roman"/>
        </w:rPr>
      </w:pPr>
    </w:p>
    <w:p w14:paraId="1CCFCF20" w14:textId="77777777" w:rsidR="00BF2E7F" w:rsidRPr="00CD5A7D" w:rsidRDefault="00BF2E7F"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both"/>
        <w:rPr>
          <w:rFonts w:ascii="Times New Roman" w:eastAsia="Arial" w:hAnsi="Times New Roman" w:cs="Times New Roman"/>
        </w:rPr>
      </w:pPr>
    </w:p>
    <w:p w14:paraId="6B49B59F"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La última reforma político electoral realizada en el 2014 en el estado mexicano, profundiza en las libertades políticas de los ciudadanos, en el fomento de una cultura de rendición de cuentas de los partidos políticos, en la generación de mayores condiciones de equidad entre las diversas fuerzas políticas en los comicios federales y locales y con ello fortalece la democracia y el estado de derecho en México.</w:t>
      </w:r>
    </w:p>
    <w:p w14:paraId="05C97B0B" w14:textId="77777777" w:rsidR="00CD5A7D" w:rsidRP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1D82063A"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Es así que, se habrá de valorar si las reformas al marco normativo electoral, desde la Constitución Política de los Estados Unidos Mexicanos hasta las normas secundarias y la correspondiente armonización con la normatividad local, corresponden satisfactoriamente a las expectativas de una mayor cultura en materia de rendición de cuentas de los elegidos frente a sus electores, al pleno ejercicio de las libertades políticas, y sobre todo a la generación de mayores condiciones de equidad entre las fuerzas políticas que contienden en el proceso electoral.</w:t>
      </w:r>
    </w:p>
    <w:p w14:paraId="20359F83" w14:textId="77777777" w:rsidR="00CD5A7D" w:rsidRP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44352028"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Considero loable el propósito de establecer una democracia de calidad, generando desde nuestra Carta Magna, un esquema institucional que asegure y garantice que todos los mexicanos, independientemente de la entidad en la que habiten, gocen de representación efectiva. Sin embargo, estimo, que ese afán de profundizar en las libertades políticas, puede tornarse confuso y hasta contradictorio en casos específicos de la innovación de figuras de participación de los actores en el proceso electoral.</w:t>
      </w:r>
    </w:p>
    <w:p w14:paraId="451F87E1" w14:textId="77777777" w:rsidR="00CD5A7D" w:rsidRP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65ACAB69"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lastRenderedPageBreak/>
        <w:t xml:space="preserve">Sobre este escenario, el propósito del presente trabajo se centra en </w:t>
      </w:r>
      <w:r w:rsidR="00D764BF" w:rsidRPr="00CD5A7D">
        <w:rPr>
          <w:rFonts w:hAnsi="Times New Roman" w:cs="Times New Roman"/>
        </w:rPr>
        <w:t>el análisis y valoración de la candidatura c</w:t>
      </w:r>
      <w:r w:rsidRPr="00CD5A7D">
        <w:rPr>
          <w:rFonts w:hAnsi="Times New Roman" w:cs="Times New Roman"/>
        </w:rPr>
        <w:t xml:space="preserve">omún entendida como forma </w:t>
      </w:r>
      <w:r w:rsidR="00D764BF" w:rsidRPr="00CD5A7D">
        <w:rPr>
          <w:rFonts w:hAnsi="Times New Roman" w:cs="Times New Roman"/>
        </w:rPr>
        <w:t>específica</w:t>
      </w:r>
      <w:r w:rsidRPr="00CD5A7D">
        <w:rPr>
          <w:rFonts w:hAnsi="Times New Roman" w:cs="Times New Roman"/>
        </w:rPr>
        <w:t xml:space="preserve"> de participación de los partidos políticos en un proceso electoral, esta figura fue dejada en libertad de los congresos locales para establecer sus alcances de acuerdo con la realidad particular. Por ello, atendiendo a lo previsto en el artículo 85 numeral 5 de la Ley General de Partidos Políticos, que en síntesis determina que las legislaturas locales podrán incluir otras formas de participación de los institutos políticos, en la armonización de la legislación Estatal de Morelos, se prevé en el </w:t>
      </w:r>
      <w:r w:rsidR="00D764BF" w:rsidRPr="00CD5A7D">
        <w:rPr>
          <w:rFonts w:hAnsi="Times New Roman" w:cs="Times New Roman"/>
        </w:rPr>
        <w:t>artículo</w:t>
      </w:r>
      <w:r w:rsidRPr="00CD5A7D">
        <w:rPr>
          <w:rFonts w:hAnsi="Times New Roman" w:cs="Times New Roman"/>
        </w:rPr>
        <w:t xml:space="preserve"> 59 del Código de Instituciones y Proce</w:t>
      </w:r>
      <w:r w:rsidR="00D764BF" w:rsidRPr="00CD5A7D">
        <w:rPr>
          <w:rFonts w:hAnsi="Times New Roman" w:cs="Times New Roman"/>
        </w:rPr>
        <w:t>sos Electorales de Morelos, la candidatura c</w:t>
      </w:r>
      <w:r w:rsidRPr="00CD5A7D">
        <w:rPr>
          <w:rFonts w:hAnsi="Times New Roman" w:cs="Times New Roman"/>
        </w:rPr>
        <w:t xml:space="preserve">omún, como forma </w:t>
      </w:r>
      <w:r w:rsidR="00D764BF" w:rsidRPr="00CD5A7D">
        <w:rPr>
          <w:rFonts w:hAnsi="Times New Roman" w:cs="Times New Roman"/>
        </w:rPr>
        <w:t>específica</w:t>
      </w:r>
      <w:r w:rsidRPr="00CD5A7D">
        <w:rPr>
          <w:rFonts w:hAnsi="Times New Roman" w:cs="Times New Roman"/>
        </w:rPr>
        <w:t xml:space="preserve"> de participación</w:t>
      </w:r>
      <w:r w:rsidR="00D764BF" w:rsidRPr="00CD5A7D">
        <w:rPr>
          <w:rFonts w:hAnsi="Times New Roman" w:cs="Times New Roman"/>
        </w:rPr>
        <w:t xml:space="preserve"> de los partidos p</w:t>
      </w:r>
      <w:r w:rsidRPr="00CD5A7D">
        <w:rPr>
          <w:rFonts w:hAnsi="Times New Roman" w:cs="Times New Roman"/>
        </w:rPr>
        <w:t>olíticos en el proceso electoral.</w:t>
      </w:r>
    </w:p>
    <w:p w14:paraId="2C38D1D5" w14:textId="77777777" w:rsidR="00CD5A7D" w:rsidRP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1AD6A76E" w14:textId="77777777" w:rsidR="00D764B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r w:rsidRPr="00CD5A7D">
        <w:rPr>
          <w:rFonts w:hAnsi="Times New Roman" w:cs="Times New Roman"/>
        </w:rPr>
        <w:t xml:space="preserve">Diversas y variadas han sido las opiniones respecto a la implementación de esta figura, algunas en contra, otras a favor, </w:t>
      </w:r>
      <w:r w:rsidR="00D764BF" w:rsidRPr="00CD5A7D">
        <w:rPr>
          <w:rFonts w:hAnsi="Times New Roman" w:cs="Times New Roman"/>
        </w:rPr>
        <w:t>más</w:t>
      </w:r>
      <w:r w:rsidRPr="00CD5A7D">
        <w:rPr>
          <w:rFonts w:hAnsi="Times New Roman" w:cs="Times New Roman"/>
        </w:rPr>
        <w:t xml:space="preserve"> lo que me motiva a optar por este tema, es considerar inviable dicha figura, p</w:t>
      </w:r>
      <w:r w:rsidR="00D764BF" w:rsidRPr="00CD5A7D">
        <w:rPr>
          <w:rFonts w:hAnsi="Times New Roman" w:cs="Times New Roman"/>
        </w:rPr>
        <w:t>orque desde nuestra</w:t>
      </w:r>
      <w:r w:rsidRPr="00CD5A7D">
        <w:rPr>
          <w:rFonts w:hAnsi="Times New Roman" w:cs="Times New Roman"/>
        </w:rPr>
        <w:t xml:space="preserve"> óptica, es equivalente a la </w:t>
      </w:r>
      <w:r w:rsidR="00D764BF" w:rsidRPr="00CD5A7D">
        <w:rPr>
          <w:rFonts w:hAnsi="Times New Roman" w:cs="Times New Roman"/>
        </w:rPr>
        <w:t>figura de coalición de p</w:t>
      </w:r>
      <w:r w:rsidRPr="00CD5A7D">
        <w:rPr>
          <w:rFonts w:hAnsi="Times New Roman" w:cs="Times New Roman"/>
        </w:rPr>
        <w:t>artidos , y además de que carece de un marco normativo que le de certeza en su ejercicio, pero fundamentalmente porque su implementación como tal atenta entre otros contra el principio de equidad en las contiendas electorales, entorpece la</w:t>
      </w:r>
      <w:r w:rsidR="00CD5A7D" w:rsidRPr="00CD5A7D">
        <w:rPr>
          <w:rFonts w:hAnsi="Times New Roman" w:cs="Times New Roman"/>
        </w:rPr>
        <w:t xml:space="preserve"> </w:t>
      </w:r>
      <w:r w:rsidRPr="00CD5A7D">
        <w:rPr>
          <w:rFonts w:hAnsi="Times New Roman" w:cs="Times New Roman"/>
        </w:rPr>
        <w:t>valoración efectiva del voto ciudadano, crea incertidumbre en el uso de los presupuestos d</w:t>
      </w:r>
      <w:r w:rsidR="00D764BF" w:rsidRPr="00CD5A7D">
        <w:rPr>
          <w:rFonts w:hAnsi="Times New Roman" w:cs="Times New Roman"/>
        </w:rPr>
        <w:t>o</w:t>
      </w:r>
      <w:r w:rsidR="00CD5A7D" w:rsidRPr="00CD5A7D">
        <w:rPr>
          <w:rFonts w:hAnsi="Times New Roman" w:cs="Times New Roman"/>
        </w:rPr>
        <w:t>tados a los partidos políticos.</w:t>
      </w:r>
    </w:p>
    <w:p w14:paraId="37E1F2A4" w14:textId="77777777" w:rsidR="00CD5A7D" w:rsidRP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72264296" w14:textId="77777777" w:rsidR="00C0386E" w:rsidRPr="00CD5A7D" w:rsidRDefault="00C0386E"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 xml:space="preserve">El propósito de la investigación es analizar y demostrar a la luz de la armonización jurídica que el legislador local provoca en el marco normativo electoral de Morelos, la inviabilidad y contradicción de la candidatura común con principios electorales fundamentales en los sufragios. </w:t>
      </w:r>
    </w:p>
    <w:p w14:paraId="40D5597F" w14:textId="77777777" w:rsidR="00CD5A7D" w:rsidRP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53D73148" w14:textId="77777777" w:rsidR="00C0386E" w:rsidRPr="00CD5A7D" w:rsidRDefault="00C0386E"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 xml:space="preserve">Para ello, partiremos de un marco conceptual y normativo, analizando su naturaleza como figura de participación y su fundamento Constitucional. En un segundo lugar, revisaremos la viabilidad de su </w:t>
      </w:r>
      <w:r w:rsidR="00CD5A7D" w:rsidRPr="00CD5A7D">
        <w:rPr>
          <w:rFonts w:hAnsi="Times New Roman" w:cs="Times New Roman"/>
        </w:rPr>
        <w:t>regulació</w:t>
      </w:r>
      <w:r w:rsidRPr="00CD5A7D">
        <w:rPr>
          <w:rFonts w:hAnsi="Times New Roman" w:cs="Times New Roman"/>
        </w:rPr>
        <w:t>n normativa así como sus alcances en el ejercicio de la democracia, para realizar posteriormente un análisis comparativo de las diferentes concepciones normativas en las entidades que adoptaron esta figura.</w:t>
      </w:r>
    </w:p>
    <w:p w14:paraId="018A7053" w14:textId="77777777" w:rsidR="00CD5A7D" w:rsidRP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3703D979" w14:textId="77777777" w:rsidR="00C0386E" w:rsidRPr="00CD5A7D" w:rsidRDefault="00C0386E"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lastRenderedPageBreak/>
        <w:t xml:space="preserve">Finalmente, a partir del análisis realizado, </w:t>
      </w:r>
      <w:r w:rsidR="00D60DC3" w:rsidRPr="00CD5A7D">
        <w:rPr>
          <w:rFonts w:hAnsi="Times New Roman" w:cs="Times New Roman"/>
        </w:rPr>
        <w:t>emitimos a manera de conclusión la derogación de esta figura.</w:t>
      </w:r>
    </w:p>
    <w:p w14:paraId="29BACF13" w14:textId="77777777" w:rsidR="00BF2E7F" w:rsidRPr="00CD5A7D" w:rsidRDefault="00BF2E7F" w:rsidP="00CD5A7D">
      <w:pPr>
        <w:pStyle w:val="Prrafodelista"/>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b/>
          <w:bCs/>
        </w:rPr>
      </w:pPr>
      <w:r w:rsidRPr="00CD5A7D">
        <w:rPr>
          <w:rFonts w:hAnsi="Times New Roman" w:cs="Times New Roman"/>
          <w:b/>
          <w:bCs/>
        </w:rPr>
        <w:t>Marco conceptual.</w:t>
      </w:r>
    </w:p>
    <w:p w14:paraId="7EA6E237"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 xml:space="preserve">El 10 de febrero de 2014, se publicó en el Diario Oficial de la Federación el Decreto por el que se reforman, adicionan y derogan 29 artículos de la Constitución Política de los Estados Unidos Mexicanos en materia político-electoral. Entre los cambios más importantes destacan las candidaturas independientes y la iniciativa ciudadana en materia legislativa (en los niveles federal y estatal), así como la posibilidad de celebrar consultas ciudadanas y que el Presidente pueda enviar iniciativas “preferentes” durante la apertura de cada periodo ordinario de sesiones del Congreso de la Unión. </w:t>
      </w:r>
    </w:p>
    <w:p w14:paraId="634161C6" w14:textId="77777777" w:rsidR="00CD5A7D" w:rsidRP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5E50C444"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Estas nuevas reglas Constitucionales para las elecciones en México dieron origen a las consecuentes reformas legales que se tradujeron en la creación de los marcos normativos en materia de instituciones y procedimientos electorales, partidos políticos, delitos Electorales, el sistema de Medios de Impugnación en materia electoral, así como las correspondientes reformas a las competencias orgánicas del Poder Judicial de la Federación y las Responsabilidades administrativas de los Servidores públicos, creándose las correspondientes leyes especificas.</w:t>
      </w:r>
    </w:p>
    <w:p w14:paraId="5B864EA6" w14:textId="77777777" w:rsidR="00CD5A7D" w:rsidRP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4A84305D"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 xml:space="preserve">Durante la discusión legislativa de esa Reforma, los principales partidos de oposición: Acción Nacional (PAN) y de la Revolución Democrática (PRD), buscaron incluir la figura de </w:t>
      </w:r>
      <w:r w:rsidRPr="00CD5A7D">
        <w:rPr>
          <w:rFonts w:hAnsi="Times New Roman" w:cs="Times New Roman"/>
          <w:u w:val="single"/>
        </w:rPr>
        <w:t>Candidaturas Comunes</w:t>
      </w:r>
      <w:r w:rsidRPr="00CD5A7D">
        <w:rPr>
          <w:rFonts w:hAnsi="Times New Roman" w:cs="Times New Roman"/>
        </w:rPr>
        <w:t xml:space="preserve"> en la legislación federal para que se implementara en las contiendas presidenciales, las de senadores y diputados, sin que tuvieran éxito ante la férrea oposición del Partido Revolucionario Institucional.</w:t>
      </w:r>
    </w:p>
    <w:p w14:paraId="4C403581"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565167E9"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Finalmente, el PAN y el PRD aceptaron que no se incluyera en ley general la posibilidad de que se postulen candidatos comunes para presidente, aceptando que, a nivel local, cada congreso decida si permite ese tipo de candidaturas en la entidad. </w:t>
      </w:r>
    </w:p>
    <w:p w14:paraId="0C0C2B84"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49EE2093"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lastRenderedPageBreak/>
        <w:t xml:space="preserve">Es así que para entender mejor los alances de la figura objeto de este trabajo resulta imprescindible tener en cuenta el texto del artículo 85 de la Ley General de Partidos Políticos que en su numeral 5 determina: </w:t>
      </w:r>
    </w:p>
    <w:p w14:paraId="4F647507"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b/>
          <w:bCs/>
          <w:i/>
          <w:iCs/>
        </w:rPr>
      </w:pPr>
      <w:r w:rsidRPr="00CD5A7D">
        <w:rPr>
          <w:rFonts w:hAnsi="Times New Roman" w:cs="Times New Roman"/>
          <w:b/>
          <w:bCs/>
          <w:i/>
          <w:iCs/>
        </w:rPr>
        <w:t>5. Será facultad de las entidades federativas establecer en sus Constituciones Locales otras formas de participación o asociación de los partidos políticos con el fin de postular candidatos.</w:t>
      </w:r>
    </w:p>
    <w:p w14:paraId="5BEA6E46"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 xml:space="preserve">Al respecto, si bien es cierto que tanto las candidaturas comunes como las coaliciones electorales son, de manera general, </w:t>
      </w:r>
      <w:r w:rsidRPr="00CD5A7D">
        <w:rPr>
          <w:rFonts w:hAnsi="Times New Roman" w:cs="Times New Roman"/>
          <w:u w:val="single"/>
        </w:rPr>
        <w:t>dos mecanismos contemplados por el derecho electoral en el que dos o más partidos deciden participar con un mismo candidato en una elección determinada</w:t>
      </w:r>
      <w:r w:rsidRPr="00CD5A7D">
        <w:rPr>
          <w:rFonts w:hAnsi="Times New Roman" w:cs="Times New Roman"/>
        </w:rPr>
        <w:t>, también lo es que, a pesar de tener el mismo fin, en ambas figuras existen diferencias que, mas allá de buscar se precisarlas, es necesario partir de un análisis exhaustivo de las Candidaturas Comunes, a fin de valorar su inclusión de manera detallada o bien, su pertinenc</w:t>
      </w:r>
      <w:r w:rsidR="00D764BF" w:rsidRPr="00CD5A7D">
        <w:rPr>
          <w:rFonts w:hAnsi="Times New Roman" w:cs="Times New Roman"/>
        </w:rPr>
        <w:t>ia en el esquema institucional e</w:t>
      </w:r>
      <w:r w:rsidRPr="00CD5A7D">
        <w:rPr>
          <w:rFonts w:hAnsi="Times New Roman" w:cs="Times New Roman"/>
        </w:rPr>
        <w:t>lectoral.</w:t>
      </w:r>
    </w:p>
    <w:p w14:paraId="4B956060"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3C9F20C3" w14:textId="77777777" w:rsidR="00BF2E7F" w:rsidRPr="00CD5A7D" w:rsidRDefault="00D764B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La candidatura común, en el plano local m</w:t>
      </w:r>
      <w:r w:rsidR="00BF2E7F" w:rsidRPr="00CD5A7D">
        <w:rPr>
          <w:rFonts w:hAnsi="Times New Roman" w:cs="Times New Roman"/>
        </w:rPr>
        <w:t xml:space="preserve">orelense, la contempla el artículo 59 del Código de Instituciones y Procedimientos Electorales vigente en la entidad, como una </w:t>
      </w:r>
      <w:r w:rsidR="00BF2E7F" w:rsidRPr="00CD5A7D">
        <w:rPr>
          <w:rFonts w:hAnsi="Times New Roman" w:cs="Times New Roman"/>
          <w:u w:val="single"/>
        </w:rPr>
        <w:t>forma especifica de intervención</w:t>
      </w:r>
      <w:r w:rsidR="00BF2E7F" w:rsidRPr="00CD5A7D">
        <w:rPr>
          <w:rFonts w:hAnsi="Times New Roman" w:cs="Times New Roman"/>
        </w:rPr>
        <w:t xml:space="preserve"> </w:t>
      </w:r>
      <w:r w:rsidR="00BF2E7F" w:rsidRPr="00CD5A7D">
        <w:rPr>
          <w:rFonts w:hAnsi="Times New Roman" w:cs="Times New Roman"/>
          <w:u w:val="single"/>
        </w:rPr>
        <w:t>de los partidos políticos en el proceso electoral</w:t>
      </w:r>
      <w:r w:rsidR="00BF2E7F" w:rsidRPr="00CD5A7D">
        <w:rPr>
          <w:rFonts w:hAnsi="Times New Roman" w:cs="Times New Roman"/>
        </w:rPr>
        <w:t>, así como los frentes coaliciones y fusiones que regula la ley General de Instituciones y Procedimientos Electorales.</w:t>
      </w:r>
    </w:p>
    <w:p w14:paraId="3FB8A32B"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295889A8"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 xml:space="preserve">La norma no define en que consiste esta figura, sino que solamente la contempla como una forma </w:t>
      </w:r>
      <w:r w:rsidR="00D764BF" w:rsidRPr="00CD5A7D">
        <w:rPr>
          <w:rFonts w:hAnsi="Times New Roman" w:cs="Times New Roman"/>
        </w:rPr>
        <w:t>específica</w:t>
      </w:r>
      <w:r w:rsidRPr="00CD5A7D">
        <w:rPr>
          <w:rFonts w:hAnsi="Times New Roman" w:cs="Times New Roman"/>
        </w:rPr>
        <w:t xml:space="preserve"> de participación en el proceso electoral, determinándose en un </w:t>
      </w:r>
      <w:r w:rsidR="00D764BF" w:rsidRPr="00CD5A7D">
        <w:rPr>
          <w:rFonts w:hAnsi="Times New Roman" w:cs="Times New Roman"/>
        </w:rPr>
        <w:t>artículo</w:t>
      </w:r>
      <w:r w:rsidRPr="00CD5A7D">
        <w:rPr>
          <w:rFonts w:hAnsi="Times New Roman" w:cs="Times New Roman"/>
        </w:rPr>
        <w:t xml:space="preserve"> posterior, el 60 del mismo ordenamiento, que para efectos de presentar candidatos a Gobernador, Diputados por el principio de Mayoría Relativa, Presidentes Municipales y Síndicos, dos o mas partidos políticos, sin mediar coalición, pueden postular al mismo candidato, y que para ello es indispensable el consentimiento por escrito del propio candidato y el convenio de los partidos políticos que lo postulen.</w:t>
      </w:r>
    </w:p>
    <w:p w14:paraId="44A5AE20"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2315CF07"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Con base en esto, si bien puede inferirse a manera d</w:t>
      </w:r>
      <w:r w:rsidR="00C0386E" w:rsidRPr="00CD5A7D">
        <w:rPr>
          <w:rFonts w:hAnsi="Times New Roman" w:cs="Times New Roman"/>
        </w:rPr>
        <w:t>e definición preliminar que la candidatura c</w:t>
      </w:r>
      <w:r w:rsidRPr="00CD5A7D">
        <w:rPr>
          <w:rFonts w:hAnsi="Times New Roman" w:cs="Times New Roman"/>
        </w:rPr>
        <w:t xml:space="preserve">omún consiste en la postulación de un mismo candidato, una misma planilla o fórmula de candidatos en una demarcación electoral, por dos o más partidos políticos, previo acuerdo </w:t>
      </w:r>
      <w:r w:rsidRPr="00CD5A7D">
        <w:rPr>
          <w:rFonts w:hAnsi="Times New Roman" w:cs="Times New Roman"/>
        </w:rPr>
        <w:lastRenderedPageBreak/>
        <w:t>estatutario que emitan los partidos políticos respectivos, y en el caso concreto el consentimiento por escrito del propio candidato, no obstante, no encontramos certidumbre pues la legislación local es omisa en esclarecer lo elementos que darán forma a ese mecanismo de postulación pues entre otras cosas no se establecen los parámetros</w:t>
      </w:r>
      <w:r w:rsidR="00CD5A7D" w:rsidRPr="00CD5A7D">
        <w:rPr>
          <w:rFonts w:hAnsi="Times New Roman" w:cs="Times New Roman"/>
        </w:rPr>
        <w:t xml:space="preserve"> </w:t>
      </w:r>
      <w:r w:rsidRPr="00CD5A7D">
        <w:rPr>
          <w:rFonts w:hAnsi="Times New Roman" w:cs="Times New Roman"/>
        </w:rPr>
        <w:t>del contenido del convenio citado, las consecuencias del computo de la votación obtenida,</w:t>
      </w:r>
      <w:r w:rsidR="00CD5A7D" w:rsidRPr="00CD5A7D">
        <w:rPr>
          <w:rFonts w:hAnsi="Times New Roman" w:cs="Times New Roman"/>
        </w:rPr>
        <w:t xml:space="preserve"> </w:t>
      </w:r>
      <w:r w:rsidRPr="00CD5A7D">
        <w:rPr>
          <w:rFonts w:hAnsi="Times New Roman" w:cs="Times New Roman"/>
        </w:rPr>
        <w:t xml:space="preserve">y el control de financiación de los partidos que postulen a un mismo candidato. </w:t>
      </w:r>
    </w:p>
    <w:p w14:paraId="16B40B60"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14250E76"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Conviene recordar que como consecuencia de la actividad jurisdiccional en la materia el articulo 61, que disponía la forma en como deberían aparecer los partidos políticos que participaran en candidaturas comunes en la boleta electoral, así como el destinatario del voto obtenido, fue anulado por una acción de inconstitucionalidad, dejando subsistente solo el último párrafo de dicho artículo que se refiere a la imposibilidad de transferencia de votos mediante convenio entre los partidos políticos.</w:t>
      </w:r>
    </w:p>
    <w:p w14:paraId="6CA87B43"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168DB49A"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 xml:space="preserve">No pasa inadvertido la existencia de reiterados señalamientos de distintos actores políticos que sugieren que la desaparición de las candidaturas comunes es un agravio a la democracia, pugnando por contar con un mayor numero de figuras posibles que alienten la participación ciudadana en la vida política, sin embargo, consideramos estos señalamientos como una visión parcial de la realidad que se torna errónea, toda vez de que se </w:t>
      </w:r>
      <w:r w:rsidR="00C0386E" w:rsidRPr="00CD5A7D">
        <w:rPr>
          <w:rFonts w:hAnsi="Times New Roman" w:cs="Times New Roman"/>
        </w:rPr>
        <w:t>cuenta ya con la figura de las coaliciones, con lo cual podemos</w:t>
      </w:r>
      <w:r w:rsidRPr="00CD5A7D">
        <w:rPr>
          <w:rFonts w:hAnsi="Times New Roman" w:cs="Times New Roman"/>
        </w:rPr>
        <w:t xml:space="preserve"> afirmar tempranamente, que en realidad no hay restricción de los partidos políticos a aliarse con fines electorales, y que el aumento en el número de mecanismos de participación de los partidos lejos de alentar la participación ciudadana provocan un halo de enfado en la población al ver que las instituciones representativas sólo buscan la manera de sostener sus registros y beneficios partidarios sin cumplir sus fines constituciones de representación ciudadana.</w:t>
      </w:r>
    </w:p>
    <w:p w14:paraId="555623C7"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64A76D18"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b/>
          <w:bCs/>
          <w:i/>
          <w:iCs/>
        </w:rPr>
      </w:pPr>
      <w:r w:rsidRPr="00CD5A7D">
        <w:rPr>
          <w:rFonts w:hAnsi="Times New Roman" w:cs="Times New Roman"/>
        </w:rPr>
        <w:t xml:space="preserve">En refuerzo a esto ya se pronuncio en alguna ocasión el Máximo Tribunal del país en la jurisprudencia P./J. 30/2010 en la que dentro de su texto se razona: </w:t>
      </w:r>
      <w:r w:rsidRPr="00CD5A7D">
        <w:rPr>
          <w:rFonts w:hAnsi="Times New Roman" w:cs="Times New Roman"/>
          <w:b/>
          <w:bCs/>
          <w:i/>
          <w:iCs/>
        </w:rPr>
        <w:t xml:space="preserve">“que corresponde al legislador ordinario federal o local, según sea el caso, en el ámbito de sus respectivas atribuciones, determinar las formas asociativas a las cuales pueden recurrir los partidos políticos, </w:t>
      </w:r>
      <w:r w:rsidRPr="00CD5A7D">
        <w:rPr>
          <w:rFonts w:hAnsi="Times New Roman" w:cs="Times New Roman"/>
          <w:b/>
          <w:bCs/>
          <w:i/>
          <w:iCs/>
          <w:u w:val="single"/>
        </w:rPr>
        <w:t xml:space="preserve">con la limitante de que dicha regulación no resulte arbitraria, innecesaria, </w:t>
      </w:r>
      <w:r w:rsidRPr="00CD5A7D">
        <w:rPr>
          <w:rFonts w:hAnsi="Times New Roman" w:cs="Times New Roman"/>
          <w:b/>
          <w:bCs/>
          <w:i/>
          <w:iCs/>
          <w:u w:val="single"/>
        </w:rPr>
        <w:lastRenderedPageBreak/>
        <w:t>desproporcionada o incumpla con criterios de razonabilidad;</w:t>
      </w:r>
      <w:r w:rsidRPr="00CD5A7D">
        <w:rPr>
          <w:rFonts w:hAnsi="Times New Roman" w:cs="Times New Roman"/>
          <w:b/>
          <w:bCs/>
          <w:i/>
          <w:iCs/>
        </w:rPr>
        <w:t xml:space="preserve"> </w:t>
      </w:r>
      <w:r w:rsidRPr="00CD5A7D">
        <w:rPr>
          <w:rFonts w:hAnsi="Times New Roman" w:cs="Times New Roman"/>
          <w:b/>
          <w:bCs/>
          <w:i/>
          <w:iCs/>
          <w:u w:val="single"/>
        </w:rPr>
        <w:t>además de guardar congruencia con la finalidad de los partidos políticos, consistente en promover la participación del pueblo en la vida democrática del país, contribuir a la integración de la representación nacional y, como organizaciones de ciudadanos, hacer posible su acceso al ejercicio del poder público</w:t>
      </w:r>
      <w:r w:rsidRPr="00CD5A7D">
        <w:rPr>
          <w:rFonts w:hAnsi="Times New Roman" w:cs="Times New Roman"/>
          <w:b/>
          <w:bCs/>
          <w:i/>
          <w:iCs/>
        </w:rPr>
        <w:t>.“</w:t>
      </w:r>
    </w:p>
    <w:p w14:paraId="06112FD4"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5C648007"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 xml:space="preserve">Adicionalmente, conviene recordar que además de la legalidad y la pluralidad, los procesos electorales están basados también en la equidad de las contiendas, siendo este factor, el de equidad, la piedra angular de la reciente reforma. </w:t>
      </w:r>
    </w:p>
    <w:p w14:paraId="1690663C"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3CAECF88"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 xml:space="preserve">En ese tenor, es pertinente cuestionarse: ¿las candidaturas comunes no representan una ventaja de los partidos involucrados sobre aquellos que participaban en solitario o unidos en una coalición? ¿El contar con más representantes o con varias opciones en la boleta electoral, acaso no significa una falta de equidad respecto de otros partidos? ¿No son las candidaturas comunes un aliciente para a los partidos fuertes en detrimento de los pequeños? </w:t>
      </w:r>
    </w:p>
    <w:p w14:paraId="195C760A"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0B292B1D" w14:textId="77777777" w:rsidR="00BF2E7F" w:rsidRDefault="00C0386E"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r w:rsidRPr="00CD5A7D">
        <w:rPr>
          <w:rFonts w:hAnsi="Times New Roman" w:cs="Times New Roman"/>
        </w:rPr>
        <w:t>E</w:t>
      </w:r>
      <w:r w:rsidR="00BF2E7F" w:rsidRPr="00CD5A7D">
        <w:rPr>
          <w:rFonts w:hAnsi="Times New Roman" w:cs="Times New Roman"/>
        </w:rPr>
        <w:t>n efecto, las candidaturas comunes, contrario a lo que se ha argumentado por sus defensores,</w:t>
      </w:r>
      <w:r w:rsidRPr="00CD5A7D">
        <w:rPr>
          <w:rFonts w:hAnsi="Times New Roman" w:cs="Times New Roman"/>
        </w:rPr>
        <w:t xml:space="preserve"> consideramos que las mismas</w:t>
      </w:r>
      <w:r w:rsidR="00BF2E7F" w:rsidRPr="00CD5A7D">
        <w:rPr>
          <w:rFonts w:hAnsi="Times New Roman" w:cs="Times New Roman"/>
        </w:rPr>
        <w:t xml:space="preserve"> no ayudan al desarrollo de la democracia, y que su eliminación def</w:t>
      </w:r>
      <w:r w:rsidRPr="00CD5A7D">
        <w:rPr>
          <w:rFonts w:hAnsi="Times New Roman" w:cs="Times New Roman"/>
        </w:rPr>
        <w:t>initiva del esquema constituciona</w:t>
      </w:r>
      <w:r w:rsidR="00BF2E7F" w:rsidRPr="00CD5A7D">
        <w:rPr>
          <w:rFonts w:hAnsi="Times New Roman" w:cs="Times New Roman"/>
        </w:rPr>
        <w:t xml:space="preserve">l servirá para fortalecer uno de los principios básicos de la democracia: </w:t>
      </w:r>
      <w:r w:rsidR="00BF2E7F" w:rsidRPr="00CD5A7D">
        <w:rPr>
          <w:rFonts w:hAnsi="Times New Roman" w:cs="Times New Roman"/>
          <w:u w:val="single"/>
        </w:rPr>
        <w:t>la equidad, la valoración efectiva del voto ciudadano, la transparencia y uso adecuado de los recursos públicos y el respeto a los fines constitucionales de representación ciudadana que recae en los partidos políticos</w:t>
      </w:r>
      <w:r w:rsidR="00BF2E7F" w:rsidRPr="00CD5A7D">
        <w:rPr>
          <w:rFonts w:hAnsi="Times New Roman" w:cs="Times New Roman"/>
        </w:rPr>
        <w:t>.</w:t>
      </w:r>
    </w:p>
    <w:p w14:paraId="4567A3F8" w14:textId="77777777" w:rsidR="00CD5A7D" w:rsidRP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p>
    <w:p w14:paraId="340A2FEB" w14:textId="77777777" w:rsidR="00BF2E7F" w:rsidRPr="00CD5A7D" w:rsidRDefault="00C0386E" w:rsidP="00CD5A7D">
      <w:pPr>
        <w:pStyle w:val="Prrafodelista"/>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b/>
          <w:bCs/>
        </w:rPr>
      </w:pPr>
      <w:r w:rsidRPr="00CD5A7D">
        <w:rPr>
          <w:rFonts w:eastAsia="Arial" w:hAnsi="Times New Roman" w:cs="Times New Roman"/>
          <w:b/>
          <w:bCs/>
        </w:rPr>
        <w:t>Viabilidad de su implementación en la norma y alcances en el ejercicio de la democracia</w:t>
      </w:r>
    </w:p>
    <w:p w14:paraId="05DD2783"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rPr>
      </w:pPr>
      <w:r w:rsidRPr="00CD5A7D">
        <w:rPr>
          <w:rFonts w:hAnsi="Times New Roman" w:cs="Times New Roman"/>
        </w:rPr>
        <w:t>Resulta relevante el tema, en virtud de la necesidad de generar insumos de evaluación respecto de la viabilidad de las figuras innovadoras o consecuentes de la reciente Reforma Electoral; consideramos que si bien el legislador federal dejó explícitamente abierta la posibilidad para que el legislador local incluya otras figuras o formas de participación en los procesos electorales, éstas deben observar irrestrictamente los principios rectores de la materia electoral.</w:t>
      </w:r>
    </w:p>
    <w:p w14:paraId="1041779A"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3A960C76" w14:textId="77777777" w:rsidR="0085734E"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r w:rsidRPr="00CD5A7D">
        <w:rPr>
          <w:rFonts w:hAnsi="Times New Roman" w:cs="Times New Roman"/>
        </w:rPr>
        <w:t>El establecer como forma de participación a la Candidatura Común, genera confusión al no establecer reglas claras para ello, en ese sentido, al derogar el artículo que contempla las candidaturas comunes de la legislación electoral del estado de Morelos, trae consigo que los sujetos de la ley que requieran optar por alguna forma de participación común lo hagan a través de una coalición, figura mas elaborada y completa, y que se apega a los fines de</w:t>
      </w:r>
      <w:r w:rsidR="0085734E" w:rsidRPr="00CD5A7D">
        <w:rPr>
          <w:rFonts w:hAnsi="Times New Roman" w:cs="Times New Roman"/>
        </w:rPr>
        <w:t>l derecho electoral.</w:t>
      </w:r>
    </w:p>
    <w:p w14:paraId="2968E994" w14:textId="77777777" w:rsidR="00BF2E7F" w:rsidRPr="00CD5A7D" w:rsidRDefault="00BF2E7F"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r w:rsidRPr="00CD5A7D">
        <w:rPr>
          <w:rFonts w:hAnsi="Times New Roman" w:cs="Times New Roman"/>
        </w:rPr>
        <w:t>¿Es viable la eliminación de figura de la candidatura común del Código de Instituciones y procedimientos electorales para el Estado de Morelos?</w:t>
      </w:r>
    </w:p>
    <w:p w14:paraId="38D59D05"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rPr>
      </w:pPr>
    </w:p>
    <w:p w14:paraId="75F5A2E1" w14:textId="77777777" w:rsidR="0085734E" w:rsidRPr="00CD5A7D" w:rsidRDefault="0085734E"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b/>
          <w:bCs/>
        </w:rPr>
      </w:pPr>
      <w:r w:rsidRPr="00CD5A7D">
        <w:rPr>
          <w:rFonts w:hAnsi="Times New Roman" w:cs="Times New Roman"/>
        </w:rPr>
        <w:t>La adopción de la candidatura común, como forma de participación de los Partidos Políticos en los procesos comiciales genera falta de equidad en la contienda electoral, por lo que su eliminación, no vulnera el derecho de asociación de los partidos políticos.</w:t>
      </w:r>
      <w:r w:rsidRPr="00CD5A7D">
        <w:rPr>
          <w:rFonts w:hAnsi="Times New Roman" w:cs="Times New Roman"/>
          <w:b/>
          <w:bCs/>
        </w:rPr>
        <w:t xml:space="preserve"> </w:t>
      </w:r>
    </w:p>
    <w:p w14:paraId="6B767850" w14:textId="77777777" w:rsidR="00CD5A7D" w:rsidRDefault="00CD5A7D"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hAnsi="Times New Roman" w:cs="Times New Roman"/>
          <w:bCs/>
        </w:rPr>
      </w:pPr>
    </w:p>
    <w:p w14:paraId="3AF28887" w14:textId="77777777" w:rsidR="00BF2E7F" w:rsidRPr="00CD5A7D" w:rsidRDefault="0085734E" w:rsidP="00CD5A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line="360" w:lineRule="auto"/>
        <w:jc w:val="both"/>
        <w:rPr>
          <w:rFonts w:eastAsia="Arial" w:hAnsi="Times New Roman" w:cs="Times New Roman"/>
          <w:b/>
          <w:bCs/>
        </w:rPr>
      </w:pPr>
      <w:r w:rsidRPr="00CD5A7D">
        <w:rPr>
          <w:rFonts w:hAnsi="Times New Roman" w:cs="Times New Roman"/>
          <w:bCs/>
        </w:rPr>
        <w:t>L</w:t>
      </w:r>
      <w:r w:rsidR="00BF2E7F" w:rsidRPr="00CD5A7D">
        <w:rPr>
          <w:rFonts w:hAnsi="Times New Roman" w:cs="Times New Roman"/>
        </w:rPr>
        <w:t>a</w:t>
      </w:r>
      <w:r w:rsidRPr="00CD5A7D">
        <w:rPr>
          <w:rFonts w:hAnsi="Times New Roman" w:cs="Times New Roman"/>
        </w:rPr>
        <w:t xml:space="preserve"> inclusión de figuras como las c</w:t>
      </w:r>
      <w:r w:rsidR="00BF2E7F" w:rsidRPr="00CD5A7D">
        <w:rPr>
          <w:rFonts w:hAnsi="Times New Roman" w:cs="Times New Roman"/>
        </w:rPr>
        <w:t>andidaturas</w:t>
      </w:r>
      <w:r w:rsidRPr="00CD5A7D">
        <w:rPr>
          <w:rFonts w:hAnsi="Times New Roman" w:cs="Times New Roman"/>
        </w:rPr>
        <w:t xml:space="preserve"> c</w:t>
      </w:r>
      <w:r w:rsidR="00BF2E7F" w:rsidRPr="00CD5A7D">
        <w:rPr>
          <w:rFonts w:hAnsi="Times New Roman" w:cs="Times New Roman"/>
        </w:rPr>
        <w:t xml:space="preserve">omunes, en las legislaciones locales, contraviene el principio de equidad en las contiendas electorales, y que su eliminación no obstaculiza o merma el derecho de los partidos políticos de aliarse, toda vez de que para ello, existe ya una forma </w:t>
      </w:r>
      <w:r w:rsidRPr="00CD5A7D">
        <w:rPr>
          <w:rFonts w:hAnsi="Times New Roman" w:cs="Times New Roman"/>
        </w:rPr>
        <w:t>específica</w:t>
      </w:r>
      <w:r w:rsidR="00BF2E7F" w:rsidRPr="00CD5A7D">
        <w:rPr>
          <w:rFonts w:hAnsi="Times New Roman" w:cs="Times New Roman"/>
        </w:rPr>
        <w:t xml:space="preserve"> y reglamentada</w:t>
      </w:r>
      <w:r w:rsidRPr="00CD5A7D">
        <w:rPr>
          <w:rFonts w:hAnsi="Times New Roman" w:cs="Times New Roman"/>
        </w:rPr>
        <w:t xml:space="preserve"> la c</w:t>
      </w:r>
      <w:r w:rsidR="00BF2E7F" w:rsidRPr="00CD5A7D">
        <w:rPr>
          <w:rFonts w:hAnsi="Times New Roman" w:cs="Times New Roman"/>
        </w:rPr>
        <w:t>oalición.</w:t>
      </w:r>
    </w:p>
    <w:p w14:paraId="056C7970" w14:textId="77777777" w:rsidR="00CD5A7D" w:rsidRDefault="00CD5A7D"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both"/>
        <w:rPr>
          <w:rFonts w:ascii="Times New Roman" w:hAnsi="Times New Roman" w:cs="Times New Roman"/>
        </w:rPr>
      </w:pPr>
    </w:p>
    <w:p w14:paraId="2D7B81B9" w14:textId="77777777" w:rsidR="0085734E" w:rsidRPr="00CD5A7D" w:rsidRDefault="00BF2E7F"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both"/>
        <w:rPr>
          <w:rFonts w:ascii="Times New Roman" w:eastAsia="Arial" w:hAnsi="Times New Roman" w:cs="Times New Roman"/>
        </w:rPr>
      </w:pPr>
      <w:r w:rsidRPr="00CD5A7D">
        <w:rPr>
          <w:rFonts w:ascii="Times New Roman" w:hAnsi="Times New Roman" w:cs="Times New Roman"/>
        </w:rPr>
        <w:t>Es de considerarse desde luego, que existen voces que han incentivado esta figura, enarbolando la bandera de la búsqueda y promoción de mayores formas de participación, sin embargo, debe tenerse en consideración que finalmente este derecho de participación de los partidos políticos, obedece a la finalidad que como instrumentos o medios de los ciudadanos para que estos últimos accedan al ejercicio del poder publico, les atañe.</w:t>
      </w:r>
    </w:p>
    <w:p w14:paraId="762C6D58" w14:textId="77777777" w:rsidR="0085734E" w:rsidRPr="00CD5A7D" w:rsidRDefault="0085734E"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both"/>
        <w:rPr>
          <w:rFonts w:ascii="Times New Roman" w:eastAsia="Arial" w:hAnsi="Times New Roman" w:cs="Times New Roman"/>
        </w:rPr>
      </w:pPr>
    </w:p>
    <w:p w14:paraId="216BD2B0" w14:textId="77777777" w:rsidR="00BF2E7F" w:rsidRPr="00CD5A7D" w:rsidRDefault="00BF2E7F"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both"/>
        <w:rPr>
          <w:rFonts w:ascii="Times New Roman" w:eastAsia="Arial" w:hAnsi="Times New Roman" w:cs="Times New Roman"/>
        </w:rPr>
      </w:pPr>
      <w:r w:rsidRPr="00CD5A7D">
        <w:rPr>
          <w:rFonts w:ascii="Times New Roman" w:hAnsi="Times New Roman" w:cs="Times New Roman"/>
        </w:rPr>
        <w:t>En</w:t>
      </w:r>
      <w:r w:rsidR="0085734E" w:rsidRPr="00CD5A7D">
        <w:rPr>
          <w:rFonts w:ascii="Times New Roman" w:hAnsi="Times New Roman" w:cs="Times New Roman"/>
        </w:rPr>
        <w:t xml:space="preserve"> ese tenor, considerando a los p</w:t>
      </w:r>
      <w:r w:rsidRPr="00CD5A7D">
        <w:rPr>
          <w:rFonts w:ascii="Times New Roman" w:hAnsi="Times New Roman" w:cs="Times New Roman"/>
        </w:rPr>
        <w:t>artidos políticos como entes públicos cuya</w:t>
      </w:r>
      <w:r w:rsidR="00CD5A7D" w:rsidRPr="00CD5A7D">
        <w:rPr>
          <w:rFonts w:ascii="Times New Roman" w:hAnsi="Times New Roman" w:cs="Times New Roman"/>
        </w:rPr>
        <w:t xml:space="preserve"> </w:t>
      </w:r>
      <w:r w:rsidRPr="00CD5A7D">
        <w:rPr>
          <w:rFonts w:ascii="Times New Roman" w:hAnsi="Times New Roman" w:cs="Times New Roman"/>
        </w:rPr>
        <w:t xml:space="preserve">finalidad es promover la participación del pueblo en la vida democrática, contribuir a la integración de los órganos de representación política y como organizaciones de ciudadanos, hacer posible el acceso de estos al ejercicio del poder publico, de acuerdo con los programas, principios e idas que postulen y mediante el sufragio universal, libre, secreto, directo, personal e intransferible, deberán estos sujetarse no tan solo a la normatividad que regule su actuación </w:t>
      </w:r>
      <w:r w:rsidRPr="00CD5A7D">
        <w:rPr>
          <w:rFonts w:ascii="Times New Roman" w:hAnsi="Times New Roman" w:cs="Times New Roman"/>
        </w:rPr>
        <w:lastRenderedPageBreak/>
        <w:t xml:space="preserve">como tales, sino además a la estricta observancia de todos y cada uno de los principios rectores de la materia electoral. </w:t>
      </w:r>
    </w:p>
    <w:p w14:paraId="407E7E62" w14:textId="77777777" w:rsidR="00BF2E7F" w:rsidRPr="00CD5A7D" w:rsidRDefault="00BF2E7F" w:rsidP="00CD5A7D">
      <w:pPr>
        <w:spacing w:line="360" w:lineRule="auto"/>
        <w:jc w:val="both"/>
        <w:rPr>
          <w:rFonts w:eastAsia="Arial" w:hAnsi="Times New Roman" w:cs="Times New Roman"/>
        </w:rPr>
      </w:pPr>
    </w:p>
    <w:p w14:paraId="4FC34447"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Para tal efecto, surgen los siguientes cuestionamientos:</w:t>
      </w:r>
    </w:p>
    <w:p w14:paraId="111F26FF" w14:textId="77777777" w:rsidR="00BF2E7F" w:rsidRPr="00CD5A7D" w:rsidRDefault="00BF2E7F" w:rsidP="00CD5A7D">
      <w:pPr>
        <w:numPr>
          <w:ilvl w:val="0"/>
          <w:numId w:val="3"/>
        </w:numPr>
        <w:spacing w:line="360" w:lineRule="auto"/>
        <w:jc w:val="both"/>
        <w:rPr>
          <w:rFonts w:eastAsia="Arial" w:hAnsi="Times New Roman" w:cs="Times New Roman"/>
        </w:rPr>
      </w:pPr>
      <w:r w:rsidRPr="00CD5A7D">
        <w:rPr>
          <w:rFonts w:hAnsi="Times New Roman" w:cs="Times New Roman"/>
        </w:rPr>
        <w:t>¿E</w:t>
      </w:r>
      <w:r w:rsidR="0085734E" w:rsidRPr="00CD5A7D">
        <w:rPr>
          <w:rFonts w:hAnsi="Times New Roman" w:cs="Times New Roman"/>
        </w:rPr>
        <w:t>xiste una clara definición de</w:t>
      </w:r>
      <w:r w:rsidR="00CD5A7D" w:rsidRPr="00CD5A7D">
        <w:rPr>
          <w:rFonts w:hAnsi="Times New Roman" w:cs="Times New Roman"/>
        </w:rPr>
        <w:t xml:space="preserve"> </w:t>
      </w:r>
      <w:r w:rsidR="0085734E" w:rsidRPr="00CD5A7D">
        <w:rPr>
          <w:rFonts w:hAnsi="Times New Roman" w:cs="Times New Roman"/>
        </w:rPr>
        <w:t>candidatura c</w:t>
      </w:r>
      <w:r w:rsidRPr="00CD5A7D">
        <w:rPr>
          <w:rFonts w:hAnsi="Times New Roman" w:cs="Times New Roman"/>
        </w:rPr>
        <w:t>omún en nuestro marco normativo electoral ?</w:t>
      </w:r>
    </w:p>
    <w:p w14:paraId="7327B7E3" w14:textId="77777777" w:rsidR="00BF2E7F" w:rsidRPr="00CD5A7D" w:rsidRDefault="0085734E" w:rsidP="00CD5A7D">
      <w:pPr>
        <w:numPr>
          <w:ilvl w:val="0"/>
          <w:numId w:val="4"/>
        </w:numPr>
        <w:spacing w:line="360" w:lineRule="auto"/>
        <w:jc w:val="both"/>
        <w:rPr>
          <w:rFonts w:eastAsia="Arial" w:hAnsi="Times New Roman" w:cs="Times New Roman"/>
        </w:rPr>
      </w:pPr>
      <w:r w:rsidRPr="00CD5A7D">
        <w:rPr>
          <w:rFonts w:hAnsi="Times New Roman" w:cs="Times New Roman"/>
        </w:rPr>
        <w:t>¿Existe sustento c</w:t>
      </w:r>
      <w:r w:rsidR="00BF2E7F" w:rsidRPr="00CD5A7D">
        <w:rPr>
          <w:rFonts w:hAnsi="Times New Roman" w:cs="Times New Roman"/>
        </w:rPr>
        <w:t>onstitucional para su inclusión?</w:t>
      </w:r>
    </w:p>
    <w:p w14:paraId="55C66298" w14:textId="77777777" w:rsidR="00BF2E7F" w:rsidRPr="00CD5A7D" w:rsidRDefault="0085734E" w:rsidP="00CD5A7D">
      <w:pPr>
        <w:numPr>
          <w:ilvl w:val="0"/>
          <w:numId w:val="6"/>
        </w:numPr>
        <w:spacing w:line="360" w:lineRule="auto"/>
        <w:jc w:val="both"/>
        <w:rPr>
          <w:rFonts w:eastAsia="Arial" w:hAnsi="Times New Roman" w:cs="Times New Roman"/>
        </w:rPr>
      </w:pPr>
      <w:r w:rsidRPr="00CD5A7D">
        <w:rPr>
          <w:rFonts w:hAnsi="Times New Roman" w:cs="Times New Roman"/>
        </w:rPr>
        <w:t>¿Cuales son</w:t>
      </w:r>
      <w:r w:rsidR="00BF2E7F" w:rsidRPr="00CD5A7D">
        <w:rPr>
          <w:rFonts w:hAnsi="Times New Roman" w:cs="Times New Roman"/>
        </w:rPr>
        <w:t xml:space="preserve"> las limitaciones en todo caso?</w:t>
      </w:r>
    </w:p>
    <w:p w14:paraId="36C1470C" w14:textId="77777777" w:rsidR="00BF2E7F" w:rsidRPr="00CD5A7D" w:rsidRDefault="00BF2E7F" w:rsidP="00CD5A7D">
      <w:pPr>
        <w:numPr>
          <w:ilvl w:val="0"/>
          <w:numId w:val="7"/>
        </w:numPr>
        <w:spacing w:line="360" w:lineRule="auto"/>
        <w:jc w:val="both"/>
        <w:rPr>
          <w:rFonts w:eastAsia="Arial" w:hAnsi="Times New Roman" w:cs="Times New Roman"/>
        </w:rPr>
      </w:pPr>
      <w:r w:rsidRPr="00CD5A7D">
        <w:rPr>
          <w:rFonts w:hAnsi="Times New Roman" w:cs="Times New Roman"/>
        </w:rPr>
        <w:t>¿Existe igualdad de condicio</w:t>
      </w:r>
      <w:r w:rsidR="0085734E" w:rsidRPr="00CD5A7D">
        <w:rPr>
          <w:rFonts w:hAnsi="Times New Roman" w:cs="Times New Roman"/>
        </w:rPr>
        <w:t>nes de participación entre las candidaturas comunes, candidatura independientes y c</w:t>
      </w:r>
      <w:r w:rsidRPr="00CD5A7D">
        <w:rPr>
          <w:rFonts w:hAnsi="Times New Roman" w:cs="Times New Roman"/>
        </w:rPr>
        <w:t>oaliciones?</w:t>
      </w:r>
    </w:p>
    <w:p w14:paraId="2FCF6B6E" w14:textId="77777777" w:rsidR="00BF2E7F" w:rsidRPr="00CD5A7D" w:rsidRDefault="00BF2E7F" w:rsidP="00CD5A7D">
      <w:pPr>
        <w:numPr>
          <w:ilvl w:val="0"/>
          <w:numId w:val="8"/>
        </w:numPr>
        <w:spacing w:line="360" w:lineRule="auto"/>
        <w:jc w:val="both"/>
        <w:rPr>
          <w:rFonts w:eastAsia="Arial" w:hAnsi="Times New Roman" w:cs="Times New Roman"/>
        </w:rPr>
      </w:pPr>
      <w:r w:rsidRPr="00CD5A7D">
        <w:rPr>
          <w:rFonts w:hAnsi="Times New Roman" w:cs="Times New Roman"/>
        </w:rPr>
        <w:t>¿Cuales deben ser en su caso,</w:t>
      </w:r>
      <w:r w:rsidR="00CD5A7D" w:rsidRPr="00CD5A7D">
        <w:rPr>
          <w:rFonts w:hAnsi="Times New Roman" w:cs="Times New Roman"/>
        </w:rPr>
        <w:t xml:space="preserve"> </w:t>
      </w:r>
      <w:r w:rsidRPr="00CD5A7D">
        <w:rPr>
          <w:rFonts w:hAnsi="Times New Roman" w:cs="Times New Roman"/>
        </w:rPr>
        <w:t>las reglas</w:t>
      </w:r>
      <w:r w:rsidR="0085734E" w:rsidRPr="00CD5A7D">
        <w:rPr>
          <w:rFonts w:hAnsi="Times New Roman" w:cs="Times New Roman"/>
        </w:rPr>
        <w:t xml:space="preserve"> aplicables en el escrutinio y c</w:t>
      </w:r>
      <w:r w:rsidRPr="00CD5A7D">
        <w:rPr>
          <w:rFonts w:hAnsi="Times New Roman" w:cs="Times New Roman"/>
        </w:rPr>
        <w:t>ómputo de los votos?</w:t>
      </w:r>
    </w:p>
    <w:p w14:paraId="43592D28" w14:textId="77777777" w:rsidR="00BF2E7F" w:rsidRPr="00CD5A7D" w:rsidRDefault="00BF2E7F"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both"/>
        <w:rPr>
          <w:rFonts w:ascii="Times New Roman" w:eastAsia="Arial" w:hAnsi="Times New Roman" w:cs="Times New Roman"/>
        </w:rPr>
      </w:pPr>
    </w:p>
    <w:p w14:paraId="4F263B56"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 xml:space="preserve">La definición de los candidatos en un elemento principal de todo sistema electoral es el referente a la definición de las candidaturas. Conforme al diseño del sistema electoral, la reglas sobre la definición de las candidaturas serian variadas y diversas. No obstante, podemos identificar dos rubros respecto de estas reglas: </w:t>
      </w:r>
    </w:p>
    <w:p w14:paraId="08BF29FD" w14:textId="77777777" w:rsidR="00985E3E" w:rsidRPr="00CD5A7D" w:rsidRDefault="00985E3E" w:rsidP="00CD5A7D">
      <w:pPr>
        <w:spacing w:line="360" w:lineRule="auto"/>
        <w:ind w:firstLine="708"/>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 xml:space="preserve">a) Las referidas a quien tendrá la potestad o facultad para decidir las candidaturas; y </w:t>
      </w:r>
    </w:p>
    <w:p w14:paraId="28BA76EC" w14:textId="77777777" w:rsidR="00985E3E" w:rsidRPr="00CD5A7D" w:rsidRDefault="00985E3E" w:rsidP="00CD5A7D">
      <w:pPr>
        <w:spacing w:line="360" w:lineRule="auto"/>
        <w:ind w:firstLine="708"/>
        <w:jc w:val="both"/>
        <w:rPr>
          <w:rStyle w:val="ya-q-full-text"/>
          <w:rFonts w:hAnsi="Times New Roman" w:cs="Times New Roman"/>
          <w:shd w:val="clear" w:color="auto" w:fill="FFFFFF"/>
        </w:rPr>
      </w:pPr>
      <w:r w:rsidRPr="00CD5A7D">
        <w:rPr>
          <w:rStyle w:val="ya-q-full-text"/>
          <w:rFonts w:hAnsi="Times New Roman" w:cs="Times New Roman"/>
          <w:color w:val="000000" w:themeColor="text1"/>
          <w:shd w:val="clear" w:color="auto" w:fill="FFFFFF"/>
        </w:rPr>
        <w:t>b) Aquel grupo de reglas que se conciben respecto de las condiciones o cualidades que deberá observar el ciudadano o afiliado de alguna organización política para que este se convierta finalmente en un candidato.</w:t>
      </w:r>
    </w:p>
    <w:p w14:paraId="1471156D" w14:textId="77777777" w:rsidR="00CD5A7D" w:rsidRDefault="00CD5A7D" w:rsidP="00CD5A7D">
      <w:pPr>
        <w:spacing w:line="360" w:lineRule="auto"/>
        <w:jc w:val="both"/>
        <w:rPr>
          <w:rStyle w:val="ya-q-full-text"/>
          <w:rFonts w:hAnsi="Times New Roman" w:cs="Times New Roman"/>
          <w:shd w:val="clear" w:color="auto" w:fill="FFFFFF"/>
        </w:rPr>
      </w:pPr>
    </w:p>
    <w:p w14:paraId="514FBA55"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De las reglas que deben observarse en el primer grupo, es decir, aquellas referentes a la persona o institución que tendrá la potestad o facultad para decidir la candidatura a favor de alguien, encontramos los procesos de selección interna de los partidos políticos, que en este caso se compilan en los Estatutos y reglamentos de cada organismo</w:t>
      </w:r>
      <w:r w:rsidRPr="00CD5A7D">
        <w:rPr>
          <w:rStyle w:val="ya-q-full-text"/>
          <w:rFonts w:hAnsi="Times New Roman" w:cs="Times New Roman"/>
          <w:b/>
          <w:shd w:val="clear" w:color="auto" w:fill="FFFFFF"/>
        </w:rPr>
        <w:t>,</w:t>
      </w:r>
      <w:r w:rsidRPr="00CD5A7D">
        <w:rPr>
          <w:rStyle w:val="ya-q-full-text"/>
          <w:rFonts w:hAnsi="Times New Roman" w:cs="Times New Roman"/>
          <w:shd w:val="clear" w:color="auto" w:fill="FFFFFF"/>
        </w:rPr>
        <w:t xml:space="preserve"> y las externas, que se establecen en la Legislación electoral de cada País o entidad federativa.</w:t>
      </w:r>
    </w:p>
    <w:p w14:paraId="7AAC3082" w14:textId="77777777" w:rsidR="00CD5A7D" w:rsidRDefault="00CD5A7D" w:rsidP="00CD5A7D">
      <w:pPr>
        <w:spacing w:line="360" w:lineRule="auto"/>
        <w:jc w:val="both"/>
        <w:rPr>
          <w:rStyle w:val="ya-q-full-text"/>
          <w:rFonts w:hAnsi="Times New Roman" w:cs="Times New Roman"/>
          <w:shd w:val="clear" w:color="auto" w:fill="FFFFFF"/>
        </w:rPr>
      </w:pPr>
    </w:p>
    <w:p w14:paraId="3ACDDF11"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 xml:space="preserve">Por cuanto hace a las cualidades que deben caracterizar a la persona que aspira a ser postulado, “…existen requisitos de elegibilidad, stricto sensu, los que se expresan en </w:t>
      </w:r>
      <w:r w:rsidRPr="00CD5A7D">
        <w:rPr>
          <w:rStyle w:val="ya-q-full-text"/>
          <w:rFonts w:hAnsi="Times New Roman" w:cs="Times New Roman"/>
          <w:shd w:val="clear" w:color="auto" w:fill="FFFFFF"/>
        </w:rPr>
        <w:lastRenderedPageBreak/>
        <w:t>términos positivos y generalmente se refieren al status jurídico, la edad, la capacidad, la vecindad o residencia, que debe reunir la persona…”</w:t>
      </w:r>
      <w:r w:rsidRPr="00CD5A7D">
        <w:rPr>
          <w:rStyle w:val="Refdenotaalpie"/>
          <w:rFonts w:hAnsi="Times New Roman" w:cs="Times New Roman"/>
          <w:shd w:val="clear" w:color="auto" w:fill="FFFFFF"/>
        </w:rPr>
        <w:footnoteReference w:id="2"/>
      </w:r>
    </w:p>
    <w:p w14:paraId="06F36220" w14:textId="77777777" w:rsidR="00CD5A7D" w:rsidRDefault="00CD5A7D" w:rsidP="00CD5A7D">
      <w:pPr>
        <w:spacing w:line="360" w:lineRule="auto"/>
        <w:jc w:val="both"/>
        <w:rPr>
          <w:rStyle w:val="ya-q-full-text"/>
          <w:rFonts w:hAnsi="Times New Roman" w:cs="Times New Roman"/>
          <w:shd w:val="clear" w:color="auto" w:fill="FFFFFF"/>
        </w:rPr>
      </w:pPr>
    </w:p>
    <w:p w14:paraId="42081C06"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Los partidos políticos, son entidades de interés público, cuya finalidad es la promoción de la participación ciudadana en la vida democrática y su contribución a la integración del poder público, se conforman por ciudadanos que comparten intereses, principios, valores, proyectos y objetivos comunes.</w:t>
      </w:r>
    </w:p>
    <w:p w14:paraId="4C27E713" w14:textId="77777777" w:rsidR="00CD5A7D" w:rsidRDefault="00CD5A7D" w:rsidP="00CD5A7D">
      <w:pPr>
        <w:spacing w:line="360" w:lineRule="auto"/>
        <w:jc w:val="both"/>
        <w:rPr>
          <w:rStyle w:val="ya-q-full-text"/>
          <w:rFonts w:hAnsi="Times New Roman" w:cs="Times New Roman"/>
          <w:shd w:val="clear" w:color="auto" w:fill="FFFFFF"/>
        </w:rPr>
      </w:pPr>
    </w:p>
    <w:p w14:paraId="31D89606"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El concepto de partido político ha sido definido de diferentes maneras según el momento histórico y la específica realidad sociocultural. </w:t>
      </w:r>
      <w:hyperlink r:id="rId8" w:tooltip="Stefano Bertolini (aún no redactado)" w:history="1">
        <w:r w:rsidRPr="00CD5A7D">
          <w:rPr>
            <w:rStyle w:val="ya-q-full-text"/>
            <w:rFonts w:hAnsi="Times New Roman" w:cs="Times New Roman"/>
            <w:shd w:val="clear" w:color="auto" w:fill="FFFFFF"/>
          </w:rPr>
          <w:t>Stefano Bertolini</w:t>
        </w:r>
      </w:hyperlink>
      <w:r w:rsidRPr="00CD5A7D">
        <w:rPr>
          <w:rStyle w:val="ya-q-full-text"/>
          <w:rFonts w:hAnsi="Times New Roman" w:cs="Times New Roman"/>
          <w:shd w:val="clear" w:color="auto" w:fill="FFFFFF"/>
        </w:rPr>
        <w:t> lo define como “un grupo de individuos que participan en elecciones competitivas con el fin de hacer acceder a sus candidatos a los cargos públicos representativos”, y por su parte </w:t>
      </w:r>
      <w:hyperlink r:id="rId9" w:tooltip="Ramón Cotarelo" w:history="1">
        <w:r w:rsidRPr="00CD5A7D">
          <w:rPr>
            <w:rStyle w:val="ya-q-full-text"/>
            <w:rFonts w:hAnsi="Times New Roman" w:cs="Times New Roman"/>
            <w:shd w:val="clear" w:color="auto" w:fill="FFFFFF"/>
          </w:rPr>
          <w:t xml:space="preserve">Ramón </w:t>
        </w:r>
        <w:proofErr w:type="spellStart"/>
        <w:r w:rsidRPr="00CD5A7D">
          <w:rPr>
            <w:rStyle w:val="ya-q-full-text"/>
            <w:rFonts w:hAnsi="Times New Roman" w:cs="Times New Roman"/>
            <w:shd w:val="clear" w:color="auto" w:fill="FFFFFF"/>
          </w:rPr>
          <w:t>Cotarelo</w:t>
        </w:r>
        <w:proofErr w:type="spellEnd"/>
      </w:hyperlink>
      <w:r w:rsidRPr="00CD5A7D">
        <w:rPr>
          <w:rStyle w:val="ya-q-full-text"/>
          <w:rFonts w:hAnsi="Times New Roman" w:cs="Times New Roman"/>
          <w:shd w:val="clear" w:color="auto" w:fill="FFFFFF"/>
        </w:rPr>
        <w:t> lo define como “toda asociación voluntaria perdurable en el tiempo dotada de un programa de gobierno de la sociedad en su conjunto, que canaliza determinados intereses, y que aspira a ejercer el poder político o a participar en él mediante su presentación reiterada en los procesos electorales</w:t>
      </w:r>
    </w:p>
    <w:p w14:paraId="5D004104" w14:textId="77777777" w:rsidR="00CD5A7D" w:rsidRDefault="00CD5A7D" w:rsidP="00CD5A7D">
      <w:pPr>
        <w:spacing w:line="360" w:lineRule="auto"/>
        <w:jc w:val="both"/>
        <w:rPr>
          <w:rStyle w:val="ya-q-full-text"/>
          <w:rFonts w:hAnsi="Times New Roman" w:cs="Times New Roman"/>
          <w:shd w:val="clear" w:color="auto" w:fill="FFFFFF"/>
        </w:rPr>
      </w:pPr>
    </w:p>
    <w:p w14:paraId="6DCB1250"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Evidentemente, la participación en la integración del Poder Público, como</w:t>
      </w:r>
      <w:r w:rsidR="00CD5A7D" w:rsidRPr="00CD5A7D">
        <w:rPr>
          <w:rStyle w:val="ya-q-full-text"/>
          <w:rFonts w:hAnsi="Times New Roman" w:cs="Times New Roman"/>
          <w:shd w:val="clear" w:color="auto" w:fill="FFFFFF"/>
        </w:rPr>
        <w:t xml:space="preserve"> </w:t>
      </w:r>
      <w:r w:rsidRPr="00CD5A7D">
        <w:rPr>
          <w:rStyle w:val="ya-q-full-text"/>
          <w:rFonts w:hAnsi="Times New Roman" w:cs="Times New Roman"/>
          <w:shd w:val="clear" w:color="auto" w:fill="FFFFFF"/>
        </w:rPr>
        <w:t>finalidad de los partidos políticos, implica la definición de principios, normas, formas y procedimientos que permitan el cumplimiento de este objetivo.</w:t>
      </w:r>
    </w:p>
    <w:p w14:paraId="228A7B6E" w14:textId="77777777" w:rsidR="00CD5A7D" w:rsidRDefault="00CD5A7D" w:rsidP="00CD5A7D">
      <w:pPr>
        <w:spacing w:line="360" w:lineRule="auto"/>
        <w:jc w:val="both"/>
        <w:rPr>
          <w:rStyle w:val="ya-q-full-text"/>
          <w:rFonts w:hAnsi="Times New Roman" w:cs="Times New Roman"/>
          <w:shd w:val="clear" w:color="auto" w:fill="FFFFFF"/>
        </w:rPr>
      </w:pPr>
    </w:p>
    <w:p w14:paraId="35ADE1E2"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Pretendiendo reflejar las características esenciales de un sistema democrático, nuestra Constitución Política de los Estados Unidos Mexicanos, dispone en su artículo 41 fracción V que, la certeza, legalidad, independencia, imparcialidad y objetividad constituyen los principios que rigen o deben regir toda contienda electoral.</w:t>
      </w:r>
    </w:p>
    <w:p w14:paraId="6ABF7A68" w14:textId="77777777" w:rsidR="00CD5A7D" w:rsidRDefault="00CD5A7D" w:rsidP="00CD5A7D">
      <w:pPr>
        <w:spacing w:line="360" w:lineRule="auto"/>
        <w:jc w:val="both"/>
        <w:rPr>
          <w:rStyle w:val="ya-q-full-text"/>
          <w:rFonts w:hAnsi="Times New Roman" w:cs="Times New Roman"/>
          <w:shd w:val="clear" w:color="auto" w:fill="FFFFFF"/>
        </w:rPr>
      </w:pPr>
    </w:p>
    <w:p w14:paraId="4EC7E9C8"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 xml:space="preserve">Es obligación normativa de las autoridades administrativas y jurisdiccionales en la materia, hacer valido estos principios en sus actuaciones, gozando para tal efecto, de autonomía en su funcionamiento e independencia en sus decisiones. </w:t>
      </w:r>
    </w:p>
    <w:p w14:paraId="66607D1D"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lastRenderedPageBreak/>
        <w:t xml:space="preserve">En la jurisprudencia de la Suprema Corte de Justicia de la Nación, se han establecido los alcances de estos principios; en relación al principio de certeza se ha señalado que consiste en que al iniciar el proceso electoral los participantes conozcan las reglas fundamentales que integrarán el marco legal de dicho proceso, es decir, que conozcan previamente con toda claridad y seguridad las reglas a que su propia actuación, y la de las autoridades electorales, están sujetas. En cuanto al principio de legalidad es la garantía formal para que los ciudadanos y las autoridades electorales actúen en estricto apego a las disposiciones consignadas en la ley, a fin de que no se emitan o desplieguen conductas caprichosas o arbitrarias al margen del texto normativo. </w:t>
      </w:r>
    </w:p>
    <w:p w14:paraId="1EACAB1D" w14:textId="77777777" w:rsidR="00CD5A7D" w:rsidRDefault="00CD5A7D" w:rsidP="00CD5A7D">
      <w:pPr>
        <w:spacing w:line="360" w:lineRule="auto"/>
        <w:jc w:val="both"/>
        <w:rPr>
          <w:rStyle w:val="ya-q-full-text"/>
          <w:rFonts w:hAnsi="Times New Roman" w:cs="Times New Roman"/>
          <w:shd w:val="clear" w:color="auto" w:fill="FFFFFF"/>
        </w:rPr>
      </w:pPr>
    </w:p>
    <w:p w14:paraId="612D2863"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 xml:space="preserve">Respecto del principio de imparcialidad, se trata de que en el ejercicio de sus funciones las autoridades electorales eviten irregularidades, desviaciones o la proclividad partidista. El principio de objetividad obliga a que las normas y mecanismos del proceso electoral estén diseñadas para evitar situaciones conflictivas sobre los actos previos a la jornada electoral, durante su desarrollo y en las etapas posteriores a la misma. </w:t>
      </w:r>
    </w:p>
    <w:p w14:paraId="29B37390" w14:textId="77777777" w:rsidR="00CD5A7D" w:rsidRDefault="00CD5A7D" w:rsidP="00CD5A7D">
      <w:pPr>
        <w:spacing w:line="360" w:lineRule="auto"/>
        <w:jc w:val="both"/>
        <w:rPr>
          <w:rStyle w:val="ya-q-full-text"/>
          <w:rFonts w:hAnsi="Times New Roman" w:cs="Times New Roman"/>
          <w:shd w:val="clear" w:color="auto" w:fill="FFFFFF"/>
        </w:rPr>
      </w:pPr>
    </w:p>
    <w:p w14:paraId="64652F3B"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Además, de lo anterior, la Corte ha establecido que el alcance del artículo 116, fracción IV, inciso b), de la Constitución Federal, no sólo consiste en que el legislador local deba establecer en sus constituciones y leyes todas las disposiciones necesarias para que en el ejercicio de sus funciones las autoridades electorales se rijan por dichos principios, sino que también comprende la conformación orgánica de esos entes, dado que los principios antes mencionados fueron establecidos atendiendo a la naturaleza y características que deben poseer las autoridades electorales en cuanto que son responsables del desarrollo de procesos electorales confiables y transparentes.</w:t>
      </w:r>
    </w:p>
    <w:p w14:paraId="18D1D50F" w14:textId="77777777" w:rsidR="00CD5A7D" w:rsidRDefault="00CD5A7D" w:rsidP="00CD5A7D">
      <w:pPr>
        <w:spacing w:line="360" w:lineRule="auto"/>
        <w:jc w:val="both"/>
        <w:rPr>
          <w:rStyle w:val="ya-q-full-text"/>
          <w:rFonts w:hAnsi="Times New Roman" w:cs="Times New Roman"/>
          <w:shd w:val="clear" w:color="auto" w:fill="FFFFFF"/>
        </w:rPr>
      </w:pPr>
    </w:p>
    <w:p w14:paraId="44E76622"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 xml:space="preserve"> Así, para la Corte, los principios rectores de legalidad, imparcialidad, objetividad, certeza e independencia a que alude la Constitución Federal, tienen como finalidad tanto la salvaguarda del actuar de las autoridades electorales estatales, como la conformación de las mismas.</w:t>
      </w:r>
    </w:p>
    <w:p w14:paraId="7C45FD57" w14:textId="77777777" w:rsidR="00CD5A7D" w:rsidRDefault="00CD5A7D" w:rsidP="00CD5A7D">
      <w:pPr>
        <w:spacing w:line="360" w:lineRule="auto"/>
        <w:jc w:val="both"/>
        <w:rPr>
          <w:rStyle w:val="ya-q-full-text"/>
          <w:rFonts w:hAnsi="Times New Roman" w:cs="Times New Roman"/>
          <w:shd w:val="clear" w:color="auto" w:fill="FFFFFF"/>
        </w:rPr>
      </w:pPr>
    </w:p>
    <w:p w14:paraId="2414EE64"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lastRenderedPageBreak/>
        <w:t>Además de estos principios explícitos que encontramos en el artículo 41 de nuestra carta magna, existen otros que implícitamente se desprenden de la normatividad en materia electoral; tal es el caso del principio de igualdad o equidad en la contienda electoral, característicos de los sistemas democráticos contemporáneo, y</w:t>
      </w:r>
      <w:r w:rsidR="00CD5A7D" w:rsidRPr="00CD5A7D">
        <w:rPr>
          <w:rStyle w:val="ya-q-full-text"/>
          <w:rFonts w:hAnsi="Times New Roman" w:cs="Times New Roman"/>
          <w:shd w:val="clear" w:color="auto" w:fill="FFFFFF"/>
        </w:rPr>
        <w:t xml:space="preserve"> </w:t>
      </w:r>
      <w:r w:rsidRPr="00CD5A7D">
        <w:rPr>
          <w:rStyle w:val="ya-q-full-text"/>
          <w:rFonts w:hAnsi="Times New Roman" w:cs="Times New Roman"/>
          <w:shd w:val="clear" w:color="auto" w:fill="FFFFFF"/>
        </w:rPr>
        <w:t>que se desprende de los preceptos contenidos en los artículos 4, 6, 9, 35, 39, y 40.</w:t>
      </w:r>
      <w:r w:rsidR="00CD5A7D" w:rsidRPr="00CD5A7D">
        <w:rPr>
          <w:rStyle w:val="ya-q-full-text"/>
          <w:rFonts w:hAnsi="Times New Roman" w:cs="Times New Roman"/>
          <w:shd w:val="clear" w:color="auto" w:fill="FFFFFF"/>
        </w:rPr>
        <w:t xml:space="preserve"> </w:t>
      </w:r>
    </w:p>
    <w:p w14:paraId="520A2880" w14:textId="77777777" w:rsidR="00CD5A7D" w:rsidRDefault="00CD5A7D" w:rsidP="00CD5A7D">
      <w:pPr>
        <w:spacing w:line="360" w:lineRule="auto"/>
        <w:jc w:val="both"/>
        <w:rPr>
          <w:rStyle w:val="ya-q-full-text"/>
          <w:rFonts w:hAnsi="Times New Roman" w:cs="Times New Roman"/>
          <w:shd w:val="clear" w:color="auto" w:fill="FFFFFF"/>
        </w:rPr>
      </w:pPr>
    </w:p>
    <w:p w14:paraId="6AC09CDA"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El principio de igualdad de oportunidades en las contiendas electorales tiene sus efectos sobre las distintas fases del proceso electoral. De ahí que podemos distinguir una igualdad de oportunidades tanto en el acceso a las contiendas, es decir en la fase de postulación de candidaturas, y una igualdad de oportunidades en sentido estricto, que afecta a la actuación de los contendientes una vez que estos han accedido a dicha condición, jugando un papel decisivo en el periodo de la campaña electoral.</w:t>
      </w:r>
    </w:p>
    <w:p w14:paraId="7A4E35AD" w14:textId="77777777" w:rsidR="00CD5A7D" w:rsidRDefault="00CD5A7D" w:rsidP="00CD5A7D">
      <w:pPr>
        <w:spacing w:line="360" w:lineRule="auto"/>
        <w:jc w:val="both"/>
        <w:rPr>
          <w:rStyle w:val="ya-q-full-text"/>
          <w:rFonts w:hAnsi="Times New Roman" w:cs="Times New Roman"/>
          <w:shd w:val="clear" w:color="auto" w:fill="FFFFFF"/>
        </w:rPr>
      </w:pPr>
    </w:p>
    <w:p w14:paraId="256E2FED"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 xml:space="preserve">La igualdad de oportunidades en el la postulación de candidaturas, constituye el presupuesto y fundamento de la libertad de elección, e implica garantizar la libertad de acceso a dichas contiendas, impidiendo, por ejemplo, que algunos de los competidores electorales obtengan ventajas indebidas como consecuencia de las posibles situaciones de dominio (políticas, sociales o económicas) en las que pudieran encontrarse. De ahí que el principio de igualdad de oportunidades se haya convertido también en el fundamento constitucional de las causas de inelegibilidad. </w:t>
      </w:r>
    </w:p>
    <w:p w14:paraId="0F31572A" w14:textId="77777777" w:rsidR="00CD5A7D" w:rsidRDefault="00CD5A7D" w:rsidP="00CD5A7D">
      <w:pPr>
        <w:spacing w:line="360" w:lineRule="auto"/>
        <w:jc w:val="both"/>
        <w:rPr>
          <w:rStyle w:val="ya-q-full-text"/>
          <w:rFonts w:hAnsi="Times New Roman" w:cs="Times New Roman"/>
          <w:shd w:val="clear" w:color="auto" w:fill="FFFFFF"/>
        </w:rPr>
      </w:pPr>
    </w:p>
    <w:p w14:paraId="72E9A558"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La igualdad de oportunidades en sentido estricto, además de proyectarse sobre las normas reguladoras del proceso electoral, actuando como un principio objetivo e informador del Derecho electoral, va a contribuir también a dotar de contenido a los derechos subjetivos de los competidores electorales (esencialmente a los derechos de participación política, en su vertiente activa y pasiva, pero también a otros derechos como los de libertad de expresión o los derechos de reunión o asociación). De ahí que algunas de las proyecciones de este principio vayan a formar parte también del contenido del derecho fundamental de acceso a cargos públicos, siendo por ello objeto de protección jurisdiccional. Pero igualmente puede actuar como fundamento constitucional de posibles limitaciones legales a dichos derechos (Sánchez, 2007, 62 y 63 y 2011, 331-332).</w:t>
      </w:r>
    </w:p>
    <w:p w14:paraId="08791EED" w14:textId="77777777" w:rsidR="00CD5A7D" w:rsidRDefault="00CD5A7D" w:rsidP="00CD5A7D">
      <w:pPr>
        <w:spacing w:line="360" w:lineRule="auto"/>
        <w:jc w:val="both"/>
        <w:rPr>
          <w:rStyle w:val="ya-q-full-text"/>
          <w:rFonts w:hAnsi="Times New Roman" w:cs="Times New Roman"/>
          <w:shd w:val="clear" w:color="auto" w:fill="FFFFFF"/>
        </w:rPr>
      </w:pPr>
    </w:p>
    <w:p w14:paraId="29A42A9D"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Con estas consideraciones, si bien podemos concebir que la Candidatura común, es una forma legal de participación de los partidos políticos en el proceso electoral, toda vez que la propia legislación secundaria la dispone, no así que su implementación en efecto reúna los requisitos implícitos que la misma normatividad electoral debe caracterizar.</w:t>
      </w:r>
    </w:p>
    <w:p w14:paraId="1A038B93" w14:textId="77777777" w:rsidR="00CD5A7D" w:rsidRDefault="00CD5A7D" w:rsidP="00CD5A7D">
      <w:pPr>
        <w:spacing w:line="360" w:lineRule="auto"/>
        <w:jc w:val="both"/>
        <w:rPr>
          <w:rStyle w:val="ya-q-full-text"/>
          <w:rFonts w:hAnsi="Times New Roman" w:cs="Times New Roman"/>
          <w:shd w:val="clear" w:color="auto" w:fill="FFFFFF"/>
        </w:rPr>
      </w:pPr>
    </w:p>
    <w:p w14:paraId="150E4545"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Ciertamente, todos los partidos políticos, independientemente de su número de afiliados, o de la representatividad electoral que estos tengan, tienen el derecho de participar en el proceso electoral, a excepción de aquellos partidos de reciente creación, los cuales, por disposición legislativa, se exige, que deben competir en un primer proceso electoral sin la posibilidad de coaligarse, y por ende, al asimilar la Candidatura común a una alianza en coalición, prevalece la limitante para estos partidos de nueva creación.</w:t>
      </w:r>
    </w:p>
    <w:p w14:paraId="5F842AC0" w14:textId="77777777" w:rsidR="00CD5A7D" w:rsidRDefault="00CD5A7D" w:rsidP="00CD5A7D">
      <w:pPr>
        <w:spacing w:line="360" w:lineRule="auto"/>
        <w:jc w:val="both"/>
        <w:rPr>
          <w:rStyle w:val="ya-q-full-text"/>
          <w:rFonts w:hAnsi="Times New Roman" w:cs="Times New Roman"/>
          <w:shd w:val="clear" w:color="auto" w:fill="FFFFFF"/>
        </w:rPr>
      </w:pPr>
    </w:p>
    <w:p w14:paraId="6C68FAEA"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 xml:space="preserve">No obstante, es precisamente la falta de regulación específica sobre la implementación de la Candidatura Común, la que la hace inviable en el proceso electoral, toda vez de que de conformidad a como se encuentra actualmente regulada en el Código </w:t>
      </w:r>
      <w:r w:rsidR="007B616B" w:rsidRPr="00CD5A7D">
        <w:rPr>
          <w:rStyle w:val="ya-q-full-text"/>
          <w:rFonts w:hAnsi="Times New Roman" w:cs="Times New Roman"/>
          <w:shd w:val="clear" w:color="auto" w:fill="FFFFFF"/>
        </w:rPr>
        <w:t>de Instituciones y Procedimientos Electorales para el Estado de Morelos</w:t>
      </w:r>
      <w:r w:rsidRPr="00CD5A7D">
        <w:rPr>
          <w:rStyle w:val="ya-q-full-text"/>
          <w:rFonts w:hAnsi="Times New Roman" w:cs="Times New Roman"/>
          <w:shd w:val="clear" w:color="auto" w:fill="FFFFFF"/>
        </w:rPr>
        <w:t>, solo se requiere la aceptación del candidato y el convenio respectivo para que esta sea aceptada, lo cual ubica a l</w:t>
      </w:r>
      <w:r w:rsidR="007B616B" w:rsidRPr="00CD5A7D">
        <w:rPr>
          <w:rStyle w:val="ya-q-full-text"/>
          <w:rFonts w:hAnsi="Times New Roman" w:cs="Times New Roman"/>
          <w:shd w:val="clear" w:color="auto" w:fill="FFFFFF"/>
        </w:rPr>
        <w:t>os partidos postulantes de una c</w:t>
      </w:r>
      <w:r w:rsidRPr="00CD5A7D">
        <w:rPr>
          <w:rStyle w:val="ya-q-full-text"/>
          <w:rFonts w:hAnsi="Times New Roman" w:cs="Times New Roman"/>
          <w:shd w:val="clear" w:color="auto" w:fill="FFFFFF"/>
        </w:rPr>
        <w:t xml:space="preserve">andidatura </w:t>
      </w:r>
      <w:r w:rsidR="007B616B" w:rsidRPr="00CD5A7D">
        <w:rPr>
          <w:rStyle w:val="ya-q-full-text"/>
          <w:rFonts w:hAnsi="Times New Roman" w:cs="Times New Roman"/>
          <w:shd w:val="clear" w:color="auto" w:fill="FFFFFF"/>
        </w:rPr>
        <w:t>c</w:t>
      </w:r>
      <w:r w:rsidRPr="00CD5A7D">
        <w:rPr>
          <w:rStyle w:val="ya-q-full-text"/>
          <w:rFonts w:hAnsi="Times New Roman" w:cs="Times New Roman"/>
          <w:shd w:val="clear" w:color="auto" w:fill="FFFFFF"/>
        </w:rPr>
        <w:t>omún en cierta ventaja para con los partidos que han realizado procesos internos para designar o elegir candidatos al proceso electoral.</w:t>
      </w:r>
    </w:p>
    <w:p w14:paraId="126EC3D1" w14:textId="77777777" w:rsidR="00CD5A7D" w:rsidRDefault="00CD5A7D" w:rsidP="00CD5A7D">
      <w:pPr>
        <w:spacing w:line="360" w:lineRule="auto"/>
        <w:jc w:val="both"/>
        <w:rPr>
          <w:rStyle w:val="ya-q-full-text"/>
          <w:rFonts w:hAnsi="Times New Roman" w:cs="Times New Roman"/>
          <w:shd w:val="clear" w:color="auto" w:fill="FFFFFF"/>
        </w:rPr>
      </w:pPr>
    </w:p>
    <w:p w14:paraId="3E5AF67A" w14:textId="77777777" w:rsidR="00985E3E" w:rsidRPr="00CD5A7D" w:rsidRDefault="00985E3E"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Amén de que la posible designación del candidato que se postule por dos o más partidos políticos, queda sujeta a facultades discrecionales de las dirigencias de los partidos políticos, lo cual también al interior de estos, coloca a los demás aspirantes a una precandidatura en desventajas respecto de sus propios partidos.</w:t>
      </w:r>
    </w:p>
    <w:p w14:paraId="42AE8016" w14:textId="77777777" w:rsidR="00CD5A7D" w:rsidRDefault="00CD5A7D" w:rsidP="00CD5A7D">
      <w:pPr>
        <w:spacing w:line="360" w:lineRule="auto"/>
        <w:jc w:val="both"/>
        <w:rPr>
          <w:rStyle w:val="ya-q-full-text"/>
          <w:rFonts w:hAnsi="Times New Roman" w:cs="Times New Roman"/>
          <w:shd w:val="clear" w:color="auto" w:fill="FFFFFF"/>
        </w:rPr>
      </w:pPr>
    </w:p>
    <w:p w14:paraId="3B7496B2" w14:textId="77777777" w:rsidR="007B616B" w:rsidRPr="00CD5A7D" w:rsidRDefault="007B616B"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 xml:space="preserve">Durante la discusión legislativa de esta Reforma, los principales partidos de oposición, Acción Nacional (PAN) y de la Revolución Democrática (PRD), buscaron incluir esta figura de Candidaturas Comunes en la legislación federal para que se implementara en las contiendas presidenciales, las de Senadores y Diputados, sin que tuvieran éxito ante la férrea oposición del Partido Revolucionario Institucional. Finalmente, tanto el PAN como el PRD </w:t>
      </w:r>
      <w:r w:rsidRPr="00CD5A7D">
        <w:rPr>
          <w:rStyle w:val="ya-q-full-text"/>
          <w:rFonts w:hAnsi="Times New Roman" w:cs="Times New Roman"/>
          <w:shd w:val="clear" w:color="auto" w:fill="FFFFFF"/>
        </w:rPr>
        <w:lastRenderedPageBreak/>
        <w:t>aceptaron que no se incluyera en ley General la posibilidad de que se postulen candidatos comunes para presidente, aceptando</w:t>
      </w:r>
      <w:r w:rsidR="00CD5A7D" w:rsidRPr="00CD5A7D">
        <w:rPr>
          <w:rStyle w:val="ya-q-full-text"/>
          <w:rFonts w:hAnsi="Times New Roman" w:cs="Times New Roman"/>
          <w:shd w:val="clear" w:color="auto" w:fill="FFFFFF"/>
        </w:rPr>
        <w:t xml:space="preserve"> </w:t>
      </w:r>
      <w:r w:rsidRPr="00CD5A7D">
        <w:rPr>
          <w:rStyle w:val="ya-q-full-text"/>
          <w:rFonts w:hAnsi="Times New Roman" w:cs="Times New Roman"/>
          <w:shd w:val="clear" w:color="auto" w:fill="FFFFFF"/>
        </w:rPr>
        <w:t>que, a nivel local, cada congreso decida si permite ese tipo de candidaturas en la entidad. </w:t>
      </w:r>
    </w:p>
    <w:p w14:paraId="02C6082E" w14:textId="77777777" w:rsidR="007B616B" w:rsidRPr="00CD5A7D" w:rsidRDefault="007B616B" w:rsidP="00CD5A7D">
      <w:pPr>
        <w:spacing w:line="360" w:lineRule="auto"/>
        <w:jc w:val="both"/>
        <w:rPr>
          <w:rStyle w:val="ya-q-full-text"/>
          <w:rFonts w:hAnsi="Times New Roman" w:cs="Times New Roman"/>
          <w:shd w:val="clear" w:color="auto" w:fill="FFFFFF"/>
        </w:rPr>
      </w:pPr>
    </w:p>
    <w:p w14:paraId="02347434" w14:textId="77777777" w:rsidR="007B616B" w:rsidRPr="00CD5A7D" w:rsidRDefault="007B616B" w:rsidP="00CD5A7D">
      <w:pPr>
        <w:spacing w:line="360" w:lineRule="auto"/>
        <w:jc w:val="both"/>
        <w:rPr>
          <w:rFonts w:hAnsi="Times New Roman" w:cs="Times New Roman"/>
        </w:rPr>
      </w:pPr>
      <w:r w:rsidRPr="00CD5A7D">
        <w:rPr>
          <w:rStyle w:val="ya-q-full-text"/>
          <w:rFonts w:hAnsi="Times New Roman" w:cs="Times New Roman"/>
          <w:shd w:val="clear" w:color="auto" w:fill="FFFFFF"/>
        </w:rPr>
        <w:t xml:space="preserve">Finalmente el dictamen solo considero en el </w:t>
      </w:r>
      <w:r w:rsidRPr="00CD5A7D">
        <w:rPr>
          <w:rFonts w:hAnsi="Times New Roman" w:cs="Times New Roman"/>
        </w:rPr>
        <w:t>Título denominado "De los frentes, las coaliciones y las fusiones", que los partidos políticos a través de la celebración de convenios podrán constituir frentes para alcanzar objetivos políticos y sociales compartidos de índole no electoral, por medio de acciones y estrategias específicas y comunes. Que en el supuesto de la constitución de un frente, éste no afectará la personalidad jurídica de los partidos, su registro ni su identidad.</w:t>
      </w:r>
    </w:p>
    <w:p w14:paraId="315A97CE" w14:textId="77777777" w:rsidR="0085734E" w:rsidRPr="00CD5A7D" w:rsidRDefault="0085734E" w:rsidP="00CD5A7D">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both"/>
        <w:rPr>
          <w:rFonts w:ascii="Times New Roman" w:eastAsia="Arial" w:hAnsi="Times New Roman" w:cs="Times New Roman"/>
        </w:rPr>
      </w:pPr>
    </w:p>
    <w:p w14:paraId="7B7E8B0D" w14:textId="77777777" w:rsidR="00CD5A7D" w:rsidRDefault="00CD5A7D" w:rsidP="00CD5A7D">
      <w:pPr>
        <w:spacing w:line="360" w:lineRule="auto"/>
        <w:jc w:val="both"/>
        <w:rPr>
          <w:rStyle w:val="ya-q-full-text"/>
          <w:rFonts w:hAnsi="Times New Roman" w:cs="Times New Roman"/>
          <w:shd w:val="clear" w:color="auto" w:fill="FFFFFF"/>
        </w:rPr>
      </w:pPr>
    </w:p>
    <w:p w14:paraId="40A96663" w14:textId="77777777" w:rsidR="00F807AA" w:rsidRPr="00CD5A7D" w:rsidRDefault="00F807AA"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 xml:space="preserve">El concepto de partido político ha sido definido de diferentes maneras según el momento histórico y la realidad sociocultural específicas. Así por ejemplo encontramos las definiciones de Stefano </w:t>
      </w:r>
      <w:proofErr w:type="spellStart"/>
      <w:r w:rsidRPr="00CD5A7D">
        <w:rPr>
          <w:rStyle w:val="ya-q-full-text"/>
          <w:rFonts w:hAnsi="Times New Roman" w:cs="Times New Roman"/>
          <w:shd w:val="clear" w:color="auto" w:fill="FFFFFF"/>
        </w:rPr>
        <w:t>Bartolini</w:t>
      </w:r>
      <w:proofErr w:type="spellEnd"/>
      <w:r w:rsidRPr="00CD5A7D">
        <w:rPr>
          <w:rStyle w:val="ya-q-full-text"/>
          <w:rFonts w:hAnsi="Times New Roman" w:cs="Times New Roman"/>
          <w:shd w:val="clear" w:color="auto" w:fill="FFFFFF"/>
        </w:rPr>
        <w:t>, quien nos dice que los partidos políticos son un grupo de individuos que participan en elecciones competitivas con el fin de hacer acceder a sus candidatos a los cargos</w:t>
      </w:r>
      <w:r w:rsidR="00CD5A7D" w:rsidRPr="00CD5A7D">
        <w:rPr>
          <w:rStyle w:val="ya-q-full-text"/>
          <w:rFonts w:hAnsi="Times New Roman" w:cs="Times New Roman"/>
          <w:shd w:val="clear" w:color="auto" w:fill="FFFFFF"/>
        </w:rPr>
        <w:t xml:space="preserve"> </w:t>
      </w:r>
      <w:r w:rsidRPr="00CD5A7D">
        <w:rPr>
          <w:rStyle w:val="ya-q-full-text"/>
          <w:rFonts w:hAnsi="Times New Roman" w:cs="Times New Roman"/>
          <w:shd w:val="clear" w:color="auto" w:fill="FFFFFF"/>
        </w:rPr>
        <w:t>públicos representativos” (1996-217)</w:t>
      </w:r>
      <w:r w:rsidRPr="00CD5A7D">
        <w:rPr>
          <w:rStyle w:val="Refdenotaalpie"/>
          <w:rFonts w:hAnsi="Times New Roman" w:cs="Times New Roman"/>
          <w:shd w:val="clear" w:color="auto" w:fill="FFFFFF"/>
        </w:rPr>
        <w:footnoteReference w:id="3"/>
      </w:r>
      <w:r w:rsidRPr="00CD5A7D">
        <w:rPr>
          <w:rStyle w:val="ya-q-full-text"/>
          <w:rFonts w:hAnsi="Times New Roman" w:cs="Times New Roman"/>
          <w:shd w:val="clear" w:color="auto" w:fill="FFFFFF"/>
        </w:rPr>
        <w:t>; Por su parte Giovanni Sartori nos define a los</w:t>
      </w:r>
      <w:r w:rsidR="00CD5A7D" w:rsidRPr="00CD5A7D">
        <w:rPr>
          <w:rStyle w:val="ya-q-full-text"/>
          <w:rFonts w:hAnsi="Times New Roman" w:cs="Times New Roman"/>
          <w:shd w:val="clear" w:color="auto" w:fill="FFFFFF"/>
        </w:rPr>
        <w:t xml:space="preserve"> </w:t>
      </w:r>
      <w:r w:rsidRPr="00CD5A7D">
        <w:rPr>
          <w:rStyle w:val="ya-q-full-text"/>
          <w:rFonts w:hAnsi="Times New Roman" w:cs="Times New Roman"/>
          <w:shd w:val="clear" w:color="auto" w:fill="FFFFFF"/>
        </w:rPr>
        <w:t>partidos políticos como:</w:t>
      </w:r>
      <w:r w:rsidR="00CD5A7D" w:rsidRPr="00CD5A7D">
        <w:rPr>
          <w:rStyle w:val="ya-q-full-text"/>
          <w:rFonts w:hAnsi="Times New Roman" w:cs="Times New Roman"/>
          <w:shd w:val="clear" w:color="auto" w:fill="FFFFFF"/>
        </w:rPr>
        <w:t xml:space="preserve"> </w:t>
      </w:r>
      <w:r w:rsidRPr="00CD5A7D">
        <w:rPr>
          <w:rStyle w:val="ya-q-full-text"/>
          <w:rFonts w:hAnsi="Times New Roman" w:cs="Times New Roman"/>
          <w:shd w:val="clear" w:color="auto" w:fill="FFFFFF"/>
        </w:rPr>
        <w:t>“cualquier grupo político identificado que se presenta a las elecciones y que puede colocar mediante elecciones a sus candidatos a cargos públicos” (2005, 101).</w:t>
      </w:r>
      <w:r w:rsidRPr="00CD5A7D">
        <w:rPr>
          <w:rStyle w:val="Refdenotaalpie"/>
          <w:rFonts w:hAnsi="Times New Roman" w:cs="Times New Roman"/>
          <w:shd w:val="clear" w:color="auto" w:fill="FFFFFF"/>
        </w:rPr>
        <w:footnoteReference w:id="4"/>
      </w:r>
      <w:r w:rsidRPr="00CD5A7D">
        <w:rPr>
          <w:rStyle w:val="ya-q-full-text"/>
          <w:rFonts w:hAnsi="Times New Roman" w:cs="Times New Roman"/>
          <w:shd w:val="clear" w:color="auto" w:fill="FFFFFF"/>
        </w:rPr>
        <w:t xml:space="preserve">; finalmente, Ramón </w:t>
      </w:r>
      <w:proofErr w:type="spellStart"/>
      <w:r w:rsidRPr="00CD5A7D">
        <w:rPr>
          <w:rStyle w:val="ya-q-full-text"/>
          <w:rFonts w:hAnsi="Times New Roman" w:cs="Times New Roman"/>
          <w:shd w:val="clear" w:color="auto" w:fill="FFFFFF"/>
        </w:rPr>
        <w:t>Cotarelo</w:t>
      </w:r>
      <w:proofErr w:type="spellEnd"/>
      <w:r w:rsidRPr="00CD5A7D">
        <w:rPr>
          <w:rStyle w:val="ya-q-full-text"/>
          <w:rFonts w:hAnsi="Times New Roman" w:cs="Times New Roman"/>
          <w:shd w:val="clear" w:color="auto" w:fill="FFFFFF"/>
        </w:rPr>
        <w:t xml:space="preserve"> define a</w:t>
      </w:r>
      <w:r w:rsidR="00CD5A7D" w:rsidRPr="00CD5A7D">
        <w:rPr>
          <w:rStyle w:val="ya-q-full-text"/>
          <w:rFonts w:hAnsi="Times New Roman" w:cs="Times New Roman"/>
          <w:shd w:val="clear" w:color="auto" w:fill="FFFFFF"/>
        </w:rPr>
        <w:t xml:space="preserve"> </w:t>
      </w:r>
      <w:r w:rsidRPr="00CD5A7D">
        <w:rPr>
          <w:rStyle w:val="ya-q-full-text"/>
          <w:rFonts w:hAnsi="Times New Roman" w:cs="Times New Roman"/>
          <w:shd w:val="clear" w:color="auto" w:fill="FFFFFF"/>
        </w:rPr>
        <w:t>un partido político como</w:t>
      </w:r>
      <w:r w:rsidR="00CD5A7D" w:rsidRPr="00CD5A7D">
        <w:rPr>
          <w:rStyle w:val="ya-q-full-text"/>
          <w:rFonts w:hAnsi="Times New Roman" w:cs="Times New Roman"/>
          <w:shd w:val="clear" w:color="auto" w:fill="FFFFFF"/>
        </w:rPr>
        <w:t xml:space="preserve"> </w:t>
      </w:r>
      <w:r w:rsidRPr="00CD5A7D">
        <w:rPr>
          <w:rStyle w:val="ya-q-full-text"/>
          <w:rFonts w:hAnsi="Times New Roman" w:cs="Times New Roman"/>
          <w:shd w:val="clear" w:color="auto" w:fill="FFFFFF"/>
        </w:rPr>
        <w:t>“toda asociación voluntaria perdurable en el tiempo dotada de un programa de gobierno de la sociedad en su conjunto, que canaliza determinados intereses y que aspira a ejercer el poder político o a participar en él mediante su presentación reiterada a los procesos electorales”. (1985, 14).</w:t>
      </w:r>
      <w:r w:rsidRPr="00CD5A7D">
        <w:rPr>
          <w:rStyle w:val="Refdenotaalpie"/>
          <w:rFonts w:hAnsi="Times New Roman" w:cs="Times New Roman"/>
          <w:shd w:val="clear" w:color="auto" w:fill="FFFFFF"/>
        </w:rPr>
        <w:footnoteReference w:id="5"/>
      </w:r>
    </w:p>
    <w:p w14:paraId="3DC9B6C3" w14:textId="77777777" w:rsidR="00CD5A7D" w:rsidRDefault="00CD5A7D" w:rsidP="00CD5A7D">
      <w:pPr>
        <w:spacing w:line="360" w:lineRule="auto"/>
        <w:jc w:val="both"/>
        <w:rPr>
          <w:rStyle w:val="ya-q-full-text"/>
          <w:rFonts w:hAnsi="Times New Roman" w:cs="Times New Roman"/>
          <w:shd w:val="clear" w:color="auto" w:fill="FFFFFF"/>
        </w:rPr>
      </w:pPr>
    </w:p>
    <w:p w14:paraId="7E7525A9" w14:textId="77777777" w:rsidR="00F807AA" w:rsidRPr="00CD5A7D" w:rsidRDefault="00F807AA"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 xml:space="preserve">Grupo de individuos, con el carácter o personalidad política, en esencia, tiene la misión de permitir a los ciudadanos el acceso al ejercicio del poder público; en cuanto a la perdurabilidad que refiere </w:t>
      </w:r>
      <w:proofErr w:type="spellStart"/>
      <w:r w:rsidRPr="00CD5A7D">
        <w:rPr>
          <w:rStyle w:val="ya-q-full-text"/>
          <w:rFonts w:hAnsi="Times New Roman" w:cs="Times New Roman"/>
          <w:shd w:val="clear" w:color="auto" w:fill="FFFFFF"/>
        </w:rPr>
        <w:t>Ramon</w:t>
      </w:r>
      <w:proofErr w:type="spellEnd"/>
      <w:r w:rsidRPr="00CD5A7D">
        <w:rPr>
          <w:rStyle w:val="ya-q-full-text"/>
          <w:rFonts w:hAnsi="Times New Roman" w:cs="Times New Roman"/>
          <w:shd w:val="clear" w:color="auto" w:fill="FFFFFF"/>
        </w:rPr>
        <w:t xml:space="preserve"> </w:t>
      </w:r>
      <w:proofErr w:type="spellStart"/>
      <w:r w:rsidRPr="00CD5A7D">
        <w:rPr>
          <w:rStyle w:val="ya-q-full-text"/>
          <w:rFonts w:hAnsi="Times New Roman" w:cs="Times New Roman"/>
          <w:shd w:val="clear" w:color="auto" w:fill="FFFFFF"/>
        </w:rPr>
        <w:t>Cotarelo</w:t>
      </w:r>
      <w:proofErr w:type="spellEnd"/>
      <w:r w:rsidRPr="00CD5A7D">
        <w:rPr>
          <w:rStyle w:val="ya-q-full-text"/>
          <w:rFonts w:hAnsi="Times New Roman" w:cs="Times New Roman"/>
          <w:shd w:val="clear" w:color="auto" w:fill="FFFFFF"/>
        </w:rPr>
        <w:t xml:space="preserve"> en su definición, desde nuestro punto de vista </w:t>
      </w:r>
      <w:r w:rsidRPr="00CD5A7D">
        <w:rPr>
          <w:rStyle w:val="ya-q-full-text"/>
          <w:rFonts w:hAnsi="Times New Roman" w:cs="Times New Roman"/>
          <w:shd w:val="clear" w:color="auto" w:fill="FFFFFF"/>
        </w:rPr>
        <w:lastRenderedPageBreak/>
        <w:t>consideramos que esta se ciñe al desempeño del partido político, de tal suerte que es posible que no logre perdurar en el tiempo en virtud de no obtener los suficientes votos para conservar el registro como partido político.</w:t>
      </w:r>
    </w:p>
    <w:p w14:paraId="6F32C7E4" w14:textId="77777777" w:rsidR="00CD5A7D" w:rsidRDefault="00CD5A7D" w:rsidP="00CD5A7D">
      <w:pPr>
        <w:spacing w:line="360" w:lineRule="auto"/>
        <w:jc w:val="both"/>
        <w:rPr>
          <w:rStyle w:val="ya-q-full-text"/>
          <w:rFonts w:hAnsi="Times New Roman" w:cs="Times New Roman"/>
          <w:shd w:val="clear" w:color="auto" w:fill="FFFFFF"/>
        </w:rPr>
      </w:pPr>
    </w:p>
    <w:p w14:paraId="0A2B6DA4" w14:textId="77777777" w:rsidR="00F807AA" w:rsidRPr="00CD5A7D" w:rsidRDefault="00F807AA"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Efectivamente, como ya lo anotamos con anterioridad,</w:t>
      </w:r>
      <w:r w:rsidR="00CD5A7D" w:rsidRPr="00CD5A7D">
        <w:rPr>
          <w:rStyle w:val="ya-q-full-text"/>
          <w:rFonts w:hAnsi="Times New Roman" w:cs="Times New Roman"/>
          <w:shd w:val="clear" w:color="auto" w:fill="FFFFFF"/>
        </w:rPr>
        <w:t xml:space="preserve"> </w:t>
      </w:r>
      <w:r w:rsidRPr="00CD5A7D">
        <w:rPr>
          <w:rStyle w:val="ya-q-full-text"/>
          <w:rFonts w:hAnsi="Times New Roman" w:cs="Times New Roman"/>
          <w:shd w:val="clear" w:color="auto" w:fill="FFFFFF"/>
        </w:rPr>
        <w:t>es a partir</w:t>
      </w:r>
      <w:r w:rsidR="00CD5A7D" w:rsidRPr="00CD5A7D">
        <w:rPr>
          <w:rStyle w:val="ya-q-full-text"/>
          <w:rFonts w:hAnsi="Times New Roman" w:cs="Times New Roman"/>
          <w:shd w:val="clear" w:color="auto" w:fill="FFFFFF"/>
        </w:rPr>
        <w:t xml:space="preserve"> </w:t>
      </w:r>
      <w:r w:rsidRPr="00CD5A7D">
        <w:rPr>
          <w:rStyle w:val="ya-q-full-text"/>
          <w:rFonts w:hAnsi="Times New Roman" w:cs="Times New Roman"/>
          <w:shd w:val="clear" w:color="auto" w:fill="FFFFFF"/>
        </w:rPr>
        <w:t>de la modificación Constitucional del artículo 41, en 1977 cuando se otorga a los partidos políticos el estatus de “entidades de interés público”, y se establece además como su fin,</w:t>
      </w:r>
      <w:r w:rsidR="00CD5A7D" w:rsidRPr="00CD5A7D">
        <w:rPr>
          <w:rStyle w:val="ya-q-full-text"/>
          <w:rFonts w:hAnsi="Times New Roman" w:cs="Times New Roman"/>
          <w:shd w:val="clear" w:color="auto" w:fill="FFFFFF"/>
        </w:rPr>
        <w:t xml:space="preserve"> </w:t>
      </w:r>
      <w:r w:rsidRPr="00CD5A7D">
        <w:rPr>
          <w:rStyle w:val="ya-q-full-text"/>
          <w:rFonts w:hAnsi="Times New Roman" w:cs="Times New Roman"/>
          <w:shd w:val="clear" w:color="auto" w:fill="FFFFFF"/>
        </w:rPr>
        <w:t>““promover la participación del pueblo en la vida democrática, contribuir a la integración de la representación nacional y como organizaciones de ciudadanos, hacer posible el acceso de éstos al ejercicio del poder público, de acuerdo con los programas, principios e ideas que postulan y mediante el sufragio universal, libre, secreto y directo” (artículo 41.1.).</w:t>
      </w:r>
    </w:p>
    <w:p w14:paraId="3F19F123" w14:textId="77777777" w:rsidR="00CD5A7D" w:rsidRDefault="00CD5A7D" w:rsidP="00CD5A7D">
      <w:pPr>
        <w:spacing w:line="360" w:lineRule="auto"/>
        <w:jc w:val="both"/>
        <w:rPr>
          <w:rFonts w:eastAsia="Times New Roman" w:hAnsi="Times New Roman" w:cs="Times New Roman"/>
          <w:lang w:eastAsia="es-ES"/>
        </w:rPr>
      </w:pPr>
    </w:p>
    <w:p w14:paraId="6144AD45" w14:textId="77777777" w:rsidR="00F807AA" w:rsidRPr="00CD5A7D" w:rsidRDefault="00F807AA" w:rsidP="00CD5A7D">
      <w:pPr>
        <w:spacing w:line="360" w:lineRule="auto"/>
        <w:jc w:val="both"/>
        <w:rPr>
          <w:rFonts w:eastAsia="Times New Roman" w:hAnsi="Times New Roman" w:cs="Times New Roman"/>
          <w:lang w:eastAsia="es-ES"/>
        </w:rPr>
      </w:pPr>
      <w:r w:rsidRPr="00CD5A7D">
        <w:rPr>
          <w:rFonts w:eastAsia="Times New Roman" w:hAnsi="Times New Roman" w:cs="Times New Roman"/>
          <w:lang w:eastAsia="es-ES"/>
        </w:rPr>
        <w:t xml:space="preserve">El carácter de entes de interés público a los partidos políticos, les es atribuido por la regulación de la materia como lo hemos anotado con anterioridad, sin embargo, tal conceptualización, aun cuando es considerada como de orden funcional, no podemos concebirla en forma univoca. </w:t>
      </w:r>
    </w:p>
    <w:p w14:paraId="22B81CF0" w14:textId="77777777" w:rsidR="00CD5A7D" w:rsidRDefault="00CD5A7D" w:rsidP="00CD5A7D">
      <w:pPr>
        <w:spacing w:line="360" w:lineRule="auto"/>
        <w:jc w:val="both"/>
        <w:rPr>
          <w:rFonts w:eastAsia="Times New Roman" w:hAnsi="Times New Roman" w:cs="Times New Roman"/>
          <w:lang w:eastAsia="es-ES"/>
        </w:rPr>
      </w:pPr>
    </w:p>
    <w:p w14:paraId="0C3AFA1C" w14:textId="77777777" w:rsidR="00F807AA" w:rsidRPr="00CD5A7D" w:rsidRDefault="00F807AA" w:rsidP="00CD5A7D">
      <w:pPr>
        <w:spacing w:line="360" w:lineRule="auto"/>
        <w:jc w:val="both"/>
        <w:rPr>
          <w:rFonts w:eastAsia="Times New Roman" w:hAnsi="Times New Roman" w:cs="Times New Roman"/>
          <w:lang w:eastAsia="es-ES"/>
        </w:rPr>
      </w:pPr>
      <w:r w:rsidRPr="00CD5A7D">
        <w:rPr>
          <w:rFonts w:eastAsia="Times New Roman" w:hAnsi="Times New Roman" w:cs="Times New Roman"/>
          <w:lang w:eastAsia="es-ES"/>
        </w:rPr>
        <w:t>En el caso de los partidos políticos, como organizaciones conformadas por ciudadanos, la intervención del Estado no se materializa en la esfera particular de cada uno de los ciudadanos que conforman el Partido Político, sino que esta se aplica a la organización en General; ciertamente el concepto de interés publico, resulta indeterminado y trae consigo comúnmente riesgos de confusión y manipulación, conduciendo frecuentemente su calificación a etiquetarlo como un concepto ideológico.</w:t>
      </w:r>
    </w:p>
    <w:p w14:paraId="4D99AC42" w14:textId="77777777" w:rsidR="00F807AA" w:rsidRPr="00CD5A7D" w:rsidRDefault="00F807AA" w:rsidP="00CD5A7D">
      <w:pPr>
        <w:spacing w:line="360" w:lineRule="auto"/>
        <w:jc w:val="both"/>
        <w:rPr>
          <w:rFonts w:eastAsia="Times New Roman" w:hAnsi="Times New Roman" w:cs="Times New Roman"/>
          <w:lang w:eastAsia="es-ES"/>
        </w:rPr>
      </w:pPr>
      <w:r w:rsidRPr="00CD5A7D">
        <w:rPr>
          <w:rFonts w:eastAsia="Times New Roman" w:hAnsi="Times New Roman" w:cs="Times New Roman"/>
          <w:lang w:eastAsia="es-ES"/>
        </w:rPr>
        <w:t>El concepto de interés, se encuentra íntimamente relacionado con el deseo de algo que reconocemos como especialmente necesario y valioso;</w:t>
      </w:r>
      <w:r w:rsidR="00CD5A7D" w:rsidRPr="00CD5A7D">
        <w:rPr>
          <w:rFonts w:eastAsia="Times New Roman" w:hAnsi="Times New Roman" w:cs="Times New Roman"/>
          <w:lang w:eastAsia="es-ES"/>
        </w:rPr>
        <w:t xml:space="preserve"> </w:t>
      </w:r>
      <w:r w:rsidRPr="00CD5A7D">
        <w:rPr>
          <w:rFonts w:eastAsia="Times New Roman" w:hAnsi="Times New Roman" w:cs="Times New Roman"/>
          <w:lang w:eastAsia="es-ES"/>
        </w:rPr>
        <w:t>Kant concebía el interés como una dependencia de la voluntad, una voluntad que no concuerda por sí misma con la razón y no es un motivo fundante de una acción estrictamente moral.</w:t>
      </w:r>
      <w:r w:rsidRPr="00CD5A7D">
        <w:rPr>
          <w:rStyle w:val="Refdenotaalpie"/>
          <w:rFonts w:eastAsia="Times New Roman" w:hAnsi="Times New Roman" w:cs="Times New Roman"/>
          <w:lang w:eastAsia="es-ES"/>
        </w:rPr>
        <w:footnoteReference w:id="6"/>
      </w:r>
    </w:p>
    <w:p w14:paraId="1B7240A3" w14:textId="77777777" w:rsidR="00CD5A7D" w:rsidRDefault="00CD5A7D" w:rsidP="00CD5A7D">
      <w:pPr>
        <w:spacing w:line="360" w:lineRule="auto"/>
        <w:jc w:val="both"/>
        <w:rPr>
          <w:rFonts w:eastAsia="Times New Roman" w:hAnsi="Times New Roman" w:cs="Times New Roman"/>
          <w:lang w:eastAsia="es-ES"/>
        </w:rPr>
      </w:pPr>
    </w:p>
    <w:p w14:paraId="09266CD5" w14:textId="77777777" w:rsidR="00F807AA" w:rsidRPr="00CD5A7D" w:rsidRDefault="00F807AA" w:rsidP="00CD5A7D">
      <w:pPr>
        <w:spacing w:line="360" w:lineRule="auto"/>
        <w:jc w:val="both"/>
        <w:rPr>
          <w:rFonts w:eastAsia="Times New Roman" w:hAnsi="Times New Roman" w:cs="Times New Roman"/>
          <w:lang w:eastAsia="es-ES"/>
        </w:rPr>
      </w:pPr>
      <w:r w:rsidRPr="00CD5A7D">
        <w:rPr>
          <w:rFonts w:eastAsia="Times New Roman" w:hAnsi="Times New Roman" w:cs="Times New Roman"/>
          <w:lang w:eastAsia="es-ES"/>
        </w:rPr>
        <w:lastRenderedPageBreak/>
        <w:t>Aun cuando en primera instancia pareciera que el interés publico lo asimilamos como un interés general, el cual desde luego debiera ser preferido sobre los intereses particulares, nos encontramos con verdaderas dificultades cuando de definirlo en casos concretos se trata, resultando una variedad, a veces contradictorias, incluso, en las interpretaciones que de ese interés publico se puedan concebir y lo que este puede exigir.</w:t>
      </w:r>
    </w:p>
    <w:p w14:paraId="2229E306" w14:textId="77777777" w:rsidR="00CD5A7D" w:rsidRDefault="00CD5A7D" w:rsidP="00CD5A7D">
      <w:pPr>
        <w:spacing w:line="360" w:lineRule="auto"/>
        <w:jc w:val="both"/>
        <w:rPr>
          <w:rFonts w:eastAsia="Times New Roman" w:hAnsi="Times New Roman" w:cs="Times New Roman"/>
          <w:lang w:eastAsia="es-ES"/>
        </w:rPr>
      </w:pPr>
    </w:p>
    <w:p w14:paraId="3BF72722" w14:textId="77777777" w:rsidR="00F807AA" w:rsidRPr="00CD5A7D" w:rsidRDefault="00F807AA" w:rsidP="00CD5A7D">
      <w:pPr>
        <w:spacing w:line="360" w:lineRule="auto"/>
        <w:jc w:val="both"/>
        <w:rPr>
          <w:rFonts w:eastAsia="Times New Roman" w:hAnsi="Times New Roman" w:cs="Times New Roman"/>
          <w:lang w:eastAsia="es-ES"/>
        </w:rPr>
      </w:pPr>
      <w:r w:rsidRPr="00CD5A7D">
        <w:rPr>
          <w:rFonts w:eastAsia="Times New Roman" w:hAnsi="Times New Roman" w:cs="Times New Roman"/>
          <w:lang w:eastAsia="es-ES"/>
        </w:rPr>
        <w:t>De ahí, que nos conduzca a calificarlo con cierta frecuencia como un concepto ideológico; Luciano Parejo, jurista riguroso, trata de salvarlo de su abstracción peligrosamente manipulable, y sostiene que es un principio general de rango constitucional, que tiene igual grado de abstracción que otros principios como el libre desarrollo de la personalidad o la interdicción de la arbitrariedad. Tiene -dice- una clara función directiva del desarrollo normativo (parlamentario o no) del orden constitucional.</w:t>
      </w:r>
      <w:r w:rsidR="00CD5A7D" w:rsidRPr="00CD5A7D">
        <w:rPr>
          <w:rFonts w:eastAsia="Times New Roman" w:hAnsi="Times New Roman" w:cs="Times New Roman"/>
          <w:lang w:eastAsia="es-ES"/>
        </w:rPr>
        <w:t xml:space="preserve"> </w:t>
      </w:r>
      <w:r w:rsidRPr="00CD5A7D">
        <w:rPr>
          <w:rFonts w:eastAsia="Times New Roman" w:hAnsi="Times New Roman" w:cs="Times New Roman"/>
          <w:lang w:eastAsia="es-ES"/>
        </w:rPr>
        <w:t>En todo caso, su abstracción es controlable por el poder judicial. Por eso, Luciano Parejo concluye que “el interés general es definible o, cuando menos, constatable en sede precisamente de control”.</w:t>
      </w:r>
      <w:r w:rsidRPr="00CD5A7D">
        <w:rPr>
          <w:rStyle w:val="Refdenotaalpie"/>
          <w:rFonts w:eastAsia="Times New Roman" w:hAnsi="Times New Roman" w:cs="Times New Roman"/>
          <w:lang w:eastAsia="es-ES"/>
        </w:rPr>
        <w:footnoteReference w:id="7"/>
      </w:r>
    </w:p>
    <w:p w14:paraId="13A527E9" w14:textId="77777777" w:rsidR="00CD5A7D" w:rsidRDefault="00CD5A7D" w:rsidP="00CD5A7D">
      <w:pPr>
        <w:spacing w:line="360" w:lineRule="auto"/>
        <w:jc w:val="both"/>
        <w:rPr>
          <w:rFonts w:eastAsia="Times New Roman" w:hAnsi="Times New Roman" w:cs="Times New Roman"/>
          <w:lang w:eastAsia="es-ES"/>
        </w:rPr>
      </w:pPr>
    </w:p>
    <w:p w14:paraId="41F8BFFB" w14:textId="77777777" w:rsidR="00F807AA" w:rsidRPr="00CD5A7D" w:rsidRDefault="00F807AA" w:rsidP="00CD5A7D">
      <w:pPr>
        <w:spacing w:line="360" w:lineRule="auto"/>
        <w:jc w:val="both"/>
        <w:rPr>
          <w:rFonts w:eastAsia="Times New Roman" w:hAnsi="Times New Roman" w:cs="Times New Roman"/>
          <w:lang w:eastAsia="es-ES"/>
        </w:rPr>
      </w:pPr>
      <w:r w:rsidRPr="00CD5A7D">
        <w:rPr>
          <w:rFonts w:eastAsia="Times New Roman" w:hAnsi="Times New Roman" w:cs="Times New Roman"/>
          <w:lang w:eastAsia="es-ES"/>
        </w:rPr>
        <w:t>Pretendiendo “desideologizar” el concepto de interés público, Peter Haberle sostiene que el interés público debe analizarse como parte del orden constitucional y como material normativo dentro de una “teoría constitucional democrática”. En este sentido mantiene la importancia de una interpretación constitucional como concretización del interés público.</w:t>
      </w:r>
      <w:r w:rsidRPr="00CD5A7D">
        <w:rPr>
          <w:rStyle w:val="Refdenotaalpie"/>
          <w:rFonts w:eastAsia="Times New Roman" w:hAnsi="Times New Roman" w:cs="Times New Roman"/>
          <w:lang w:eastAsia="es-ES"/>
        </w:rPr>
        <w:footnoteReference w:id="8"/>
      </w:r>
    </w:p>
    <w:p w14:paraId="7EE9CBB5" w14:textId="77777777" w:rsidR="00CD5A7D" w:rsidRDefault="00CD5A7D" w:rsidP="00CD5A7D">
      <w:pPr>
        <w:spacing w:line="360" w:lineRule="auto"/>
        <w:jc w:val="both"/>
        <w:rPr>
          <w:rFonts w:eastAsia="Times New Roman" w:hAnsi="Times New Roman" w:cs="Times New Roman"/>
          <w:lang w:eastAsia="es-ES"/>
        </w:rPr>
      </w:pPr>
    </w:p>
    <w:p w14:paraId="6A38E28D" w14:textId="77777777" w:rsidR="00F807AA" w:rsidRPr="00CD5A7D" w:rsidRDefault="00F807AA" w:rsidP="00CD5A7D">
      <w:pPr>
        <w:spacing w:line="360" w:lineRule="auto"/>
        <w:jc w:val="both"/>
        <w:rPr>
          <w:rStyle w:val="ya-q-full-text"/>
          <w:rFonts w:hAnsi="Times New Roman" w:cs="Times New Roman"/>
          <w:shd w:val="clear" w:color="auto" w:fill="FFFFFF"/>
        </w:rPr>
      </w:pPr>
      <w:r w:rsidRPr="00CD5A7D">
        <w:rPr>
          <w:rFonts w:eastAsia="Times New Roman" w:hAnsi="Times New Roman" w:cs="Times New Roman"/>
          <w:lang w:eastAsia="es-ES"/>
        </w:rPr>
        <w:t>Con estas complejidades sobre el concepto de interés publico, como ya lo hemos anotado en líneas anteriores, es en el entramado Constitucional, concretamente en el articulo 41, en donde se les caracteriza a los partidos Políticos como entes de interés publico, por lo que es dable inferir que la facultad de promover la participación del pueblo en la vida democrática y contribuir con ello a la integración de la representación</w:t>
      </w:r>
      <w:r w:rsidR="00CD5A7D" w:rsidRPr="00CD5A7D">
        <w:rPr>
          <w:rFonts w:eastAsia="Times New Roman" w:hAnsi="Times New Roman" w:cs="Times New Roman"/>
          <w:lang w:eastAsia="es-ES"/>
        </w:rPr>
        <w:t xml:space="preserve"> </w:t>
      </w:r>
      <w:r w:rsidRPr="00CD5A7D">
        <w:rPr>
          <w:rFonts w:eastAsia="Times New Roman" w:hAnsi="Times New Roman" w:cs="Times New Roman"/>
          <w:lang w:eastAsia="es-ES"/>
        </w:rPr>
        <w:t>nacional, haciendo posible el acceso de los ciudadanos al ejercicio del poder publico,</w:t>
      </w:r>
      <w:r w:rsidR="00CD5A7D" w:rsidRPr="00CD5A7D">
        <w:rPr>
          <w:rFonts w:eastAsia="Times New Roman" w:hAnsi="Times New Roman" w:cs="Times New Roman"/>
          <w:lang w:eastAsia="es-ES"/>
        </w:rPr>
        <w:t xml:space="preserve"> </w:t>
      </w:r>
      <w:r w:rsidRPr="00CD5A7D">
        <w:rPr>
          <w:rFonts w:eastAsia="Times New Roman" w:hAnsi="Times New Roman" w:cs="Times New Roman"/>
          <w:lang w:eastAsia="es-ES"/>
        </w:rPr>
        <w:t xml:space="preserve">conlleva la clara intención (deseo) de la agrupación de que se conforme un gobierno en función de los </w:t>
      </w:r>
      <w:r w:rsidRPr="00CD5A7D">
        <w:rPr>
          <w:rStyle w:val="ya-q-full-text"/>
          <w:rFonts w:hAnsi="Times New Roman" w:cs="Times New Roman"/>
          <w:shd w:val="clear" w:color="auto" w:fill="FFFFFF"/>
        </w:rPr>
        <w:t>programas, principios e ideas que postulan los propios partidos políticos.</w:t>
      </w:r>
    </w:p>
    <w:p w14:paraId="2358288C" w14:textId="77777777" w:rsidR="00CD5A7D" w:rsidRDefault="00CD5A7D" w:rsidP="00CD5A7D">
      <w:pPr>
        <w:spacing w:line="360" w:lineRule="auto"/>
        <w:jc w:val="both"/>
        <w:rPr>
          <w:rStyle w:val="ya-q-full-text"/>
          <w:rFonts w:hAnsi="Times New Roman" w:cs="Times New Roman"/>
          <w:shd w:val="clear" w:color="auto" w:fill="FFFFFF"/>
        </w:rPr>
      </w:pPr>
    </w:p>
    <w:p w14:paraId="081836DD" w14:textId="77777777" w:rsidR="00F807AA" w:rsidRPr="00CD5A7D" w:rsidRDefault="00F807AA" w:rsidP="00CD5A7D">
      <w:pPr>
        <w:spacing w:line="360" w:lineRule="auto"/>
        <w:jc w:val="both"/>
        <w:rPr>
          <w:rStyle w:val="ya-q-full-text"/>
          <w:rFonts w:hAnsi="Times New Roman" w:cs="Times New Roman"/>
          <w:shd w:val="clear" w:color="auto" w:fill="FFFFFF"/>
        </w:rPr>
      </w:pPr>
      <w:r w:rsidRPr="00CD5A7D">
        <w:rPr>
          <w:rStyle w:val="ya-q-full-text"/>
          <w:rFonts w:hAnsi="Times New Roman" w:cs="Times New Roman"/>
          <w:shd w:val="clear" w:color="auto" w:fill="FFFFFF"/>
        </w:rPr>
        <w:t>En el plano local, el Código de Procedimientos Electorales de Morelos, en su articulo 21 segundo párrafo dispone que: “…</w:t>
      </w:r>
      <w:r w:rsidRPr="00CD5A7D">
        <w:rPr>
          <w:rFonts w:hAnsi="Times New Roman" w:cs="Times New Roman"/>
        </w:rPr>
        <w:t>en tratándose de asuntos de partidos políticos, la interpretación deberá tomar en cuenta el carácter de entidad de interés público de éstos como organización de ciudadanos…”.</w:t>
      </w:r>
    </w:p>
    <w:p w14:paraId="23FD7203" w14:textId="77777777" w:rsidR="00CD5A7D" w:rsidRDefault="00CD5A7D" w:rsidP="00CD5A7D">
      <w:pPr>
        <w:spacing w:line="360" w:lineRule="auto"/>
        <w:jc w:val="both"/>
        <w:rPr>
          <w:rFonts w:eastAsia="Times New Roman" w:hAnsi="Times New Roman" w:cs="Times New Roman"/>
          <w:lang w:eastAsia="es-ES"/>
        </w:rPr>
      </w:pPr>
    </w:p>
    <w:p w14:paraId="4D0B99A2" w14:textId="77777777" w:rsidR="00F807AA" w:rsidRPr="00CD5A7D" w:rsidRDefault="00F807AA" w:rsidP="00CD5A7D">
      <w:pPr>
        <w:spacing w:line="360" w:lineRule="auto"/>
        <w:jc w:val="both"/>
        <w:rPr>
          <w:rStyle w:val="ya-q-full-text"/>
          <w:rFonts w:hAnsi="Times New Roman" w:cs="Times New Roman"/>
          <w:shd w:val="clear" w:color="auto" w:fill="FFFFFF"/>
        </w:rPr>
      </w:pPr>
      <w:r w:rsidRPr="00CD5A7D">
        <w:rPr>
          <w:rFonts w:eastAsia="Times New Roman" w:hAnsi="Times New Roman" w:cs="Times New Roman"/>
          <w:lang w:eastAsia="es-ES"/>
        </w:rPr>
        <w:t xml:space="preserve">Es aquí precisamente en donde consideramos debiera “desideologizarse”, el concepto de interés publico, toda vez de que si bien los partidos políticos, aspiran a que sus candidatos gobiernen con los </w:t>
      </w:r>
      <w:r w:rsidRPr="00CD5A7D">
        <w:rPr>
          <w:rStyle w:val="ya-q-full-text"/>
          <w:rFonts w:hAnsi="Times New Roman" w:cs="Times New Roman"/>
          <w:shd w:val="clear" w:color="auto" w:fill="FFFFFF"/>
        </w:rPr>
        <w:t>programas, principios e ideas que postulan estos, como ya lo anotamos, la participación de estas agrupaciones políticas, debe ser acorde a lo que la norma previene. Es decir, debemos distinguir entre la acción de gobernar una vez que se ha obtenido el reconocimiento del electorado a través del sufragio, y la acción de participación en un proceso electoral para llegar a ello.</w:t>
      </w:r>
    </w:p>
    <w:p w14:paraId="5111ACB3" w14:textId="77777777" w:rsidR="00CD5A7D" w:rsidRDefault="00CD5A7D" w:rsidP="00CD5A7D">
      <w:pPr>
        <w:spacing w:line="360" w:lineRule="auto"/>
        <w:jc w:val="both"/>
        <w:rPr>
          <w:rStyle w:val="ya-q-full-text"/>
          <w:rFonts w:hAnsi="Times New Roman" w:cs="Times New Roman"/>
          <w:shd w:val="clear" w:color="auto" w:fill="FFFFFF"/>
        </w:rPr>
      </w:pPr>
    </w:p>
    <w:p w14:paraId="79A264F7" w14:textId="01F737BA" w:rsidR="00CD5A7D" w:rsidRDefault="00F807AA" w:rsidP="00CD5A7D">
      <w:pPr>
        <w:spacing w:line="360" w:lineRule="auto"/>
        <w:jc w:val="both"/>
        <w:rPr>
          <w:rFonts w:eastAsia="Times New Roman" w:hAnsi="Times New Roman" w:cs="Times New Roman"/>
          <w:lang w:eastAsia="es-ES"/>
        </w:rPr>
      </w:pPr>
      <w:r w:rsidRPr="00CD5A7D">
        <w:rPr>
          <w:rStyle w:val="ya-q-full-text"/>
          <w:rFonts w:hAnsi="Times New Roman" w:cs="Times New Roman"/>
          <w:shd w:val="clear" w:color="auto" w:fill="FFFFFF"/>
        </w:rPr>
        <w:t>Lo anterior, en virtud de que no es uno solo, evidentemente, el que participa para lograr el voto ciudadano y con ello la potestad de gobernar; de hecho, desde que se inician la preparación de todo proceso electoral, al interior de cada partido político, se establece una contienda para efectos de designar al interior, y acorde con los procedimientos y normas de cada partido político, a quien habrán de presentar como su candidato en el proceso electoral para la constitución de los órganos de gobierno.</w:t>
      </w:r>
    </w:p>
    <w:p w14:paraId="0421897B" w14:textId="77777777" w:rsidR="00733FFE" w:rsidRPr="00733FFE" w:rsidRDefault="00733FFE" w:rsidP="00CD5A7D">
      <w:pPr>
        <w:spacing w:line="360" w:lineRule="auto"/>
        <w:jc w:val="both"/>
        <w:rPr>
          <w:rFonts w:eastAsia="Times New Roman" w:hAnsi="Times New Roman" w:cs="Times New Roman"/>
          <w:lang w:eastAsia="es-ES"/>
        </w:rPr>
      </w:pPr>
    </w:p>
    <w:p w14:paraId="66085CA7" w14:textId="77777777" w:rsidR="00F807AA" w:rsidRPr="00CD5A7D" w:rsidRDefault="00F807AA" w:rsidP="00CD5A7D">
      <w:pPr>
        <w:spacing w:line="360" w:lineRule="auto"/>
        <w:jc w:val="both"/>
        <w:rPr>
          <w:rFonts w:hAnsi="Times New Roman" w:cs="Times New Roman"/>
        </w:rPr>
      </w:pPr>
      <w:r w:rsidRPr="00CD5A7D">
        <w:rPr>
          <w:rFonts w:hAnsi="Times New Roman" w:cs="Times New Roman"/>
        </w:rPr>
        <w:t>Es en el numeral 5 del artículo y ordenamiento multicitado en donde el legislador dispuso la facultad de las entidades federativas para establecer en sus Constituciones Locales otras formas de participación o asociación de los partidos políticos con el fin de postular candidatos.</w:t>
      </w:r>
    </w:p>
    <w:p w14:paraId="69D7557F" w14:textId="77777777" w:rsidR="00CD5A7D" w:rsidRDefault="00CD5A7D" w:rsidP="00CD5A7D">
      <w:pPr>
        <w:spacing w:line="360" w:lineRule="auto"/>
        <w:jc w:val="both"/>
        <w:rPr>
          <w:rFonts w:hAnsi="Times New Roman" w:cs="Times New Roman"/>
        </w:rPr>
      </w:pPr>
    </w:p>
    <w:p w14:paraId="04F7D962" w14:textId="77777777" w:rsidR="00F807AA" w:rsidRPr="00CD5A7D" w:rsidRDefault="00F807AA" w:rsidP="00CD5A7D">
      <w:pPr>
        <w:spacing w:line="360" w:lineRule="auto"/>
        <w:jc w:val="both"/>
        <w:rPr>
          <w:rFonts w:hAnsi="Times New Roman" w:cs="Times New Roman"/>
        </w:rPr>
      </w:pPr>
      <w:r w:rsidRPr="00CD5A7D">
        <w:rPr>
          <w:rFonts w:hAnsi="Times New Roman" w:cs="Times New Roman"/>
        </w:rPr>
        <w:t>En esa tesitura, el Código local de Morelos, dispone en su artículo 60 para presentar candidatos a Gobernador, Diputados por el principio de Mayoría Relativa, Presidentes Municipales y Síndicos, dos o más partidos políticos, sin mediar coalición, pueden postular al mismo candidato; para ello es indispensable el consentimiento por escrito del propio candidato y el convenio de los partidos políticos que lo postulen.</w:t>
      </w:r>
    </w:p>
    <w:p w14:paraId="2AE82592" w14:textId="77777777" w:rsidR="00733FFE" w:rsidRPr="00CD5A7D" w:rsidRDefault="00733FFE" w:rsidP="00CD5A7D">
      <w:pPr>
        <w:spacing w:line="360" w:lineRule="auto"/>
        <w:jc w:val="both"/>
        <w:rPr>
          <w:rFonts w:hAnsi="Times New Roman" w:cs="Times New Roman"/>
        </w:rPr>
      </w:pPr>
    </w:p>
    <w:p w14:paraId="79473379" w14:textId="77777777" w:rsidR="00F807AA" w:rsidRPr="00CD5A7D" w:rsidRDefault="00F807AA" w:rsidP="00CD5A7D">
      <w:pPr>
        <w:spacing w:line="360" w:lineRule="auto"/>
        <w:outlineLvl w:val="0"/>
        <w:rPr>
          <w:rStyle w:val="ya-q-full-text"/>
          <w:rFonts w:hAnsi="Times New Roman" w:cs="Times New Roman"/>
          <w:b/>
          <w:shd w:val="clear" w:color="auto" w:fill="FFFFFF"/>
        </w:rPr>
      </w:pPr>
      <w:r w:rsidRPr="00CD5A7D">
        <w:rPr>
          <w:rStyle w:val="ya-q-full-text"/>
          <w:rFonts w:hAnsi="Times New Roman" w:cs="Times New Roman"/>
          <w:b/>
          <w:shd w:val="clear" w:color="auto" w:fill="FFFFFF"/>
        </w:rPr>
        <w:t>Caracter</w:t>
      </w:r>
      <w:r w:rsidR="00CD5A7D">
        <w:rPr>
          <w:rStyle w:val="ya-q-full-text"/>
          <w:rFonts w:hAnsi="Times New Roman" w:cs="Times New Roman"/>
          <w:b/>
          <w:shd w:val="clear" w:color="auto" w:fill="FFFFFF"/>
        </w:rPr>
        <w:t>ísticas de la candidatura común</w:t>
      </w:r>
    </w:p>
    <w:p w14:paraId="3B8EA0D8" w14:textId="77777777" w:rsidR="00F807AA" w:rsidRPr="00CD5A7D" w:rsidRDefault="00F807AA" w:rsidP="00CD5A7D">
      <w:pPr>
        <w:spacing w:line="360" w:lineRule="auto"/>
        <w:jc w:val="both"/>
        <w:rPr>
          <w:rStyle w:val="ya-q-full-text"/>
          <w:rFonts w:hAnsi="Times New Roman" w:cs="Times New Roman"/>
        </w:rPr>
      </w:pPr>
      <w:r w:rsidRPr="00CD5A7D">
        <w:rPr>
          <w:rStyle w:val="ya-q-full-text"/>
          <w:rFonts w:hAnsi="Times New Roman" w:cs="Times New Roman"/>
        </w:rPr>
        <w:t>Pareciera pensarse que la Candidatura Común reviste similares características con las Coaliciones, sin embargo, esto no es así. Variados y distintos son los rasgos que la caracterizan y que la hacen diferente a las otras formas de participación.</w:t>
      </w:r>
    </w:p>
    <w:p w14:paraId="69BD49EB" w14:textId="77777777" w:rsidR="00CD5A7D" w:rsidRDefault="00CD5A7D" w:rsidP="00CD5A7D">
      <w:pPr>
        <w:spacing w:line="360" w:lineRule="auto"/>
        <w:jc w:val="both"/>
        <w:rPr>
          <w:rStyle w:val="ya-q-full-text"/>
          <w:rFonts w:hAnsi="Times New Roman" w:cs="Times New Roman"/>
        </w:rPr>
      </w:pPr>
    </w:p>
    <w:p w14:paraId="1DC9B934" w14:textId="77777777" w:rsidR="00F807AA" w:rsidRPr="00CD5A7D" w:rsidRDefault="00F807AA" w:rsidP="00CD5A7D">
      <w:pPr>
        <w:spacing w:line="360" w:lineRule="auto"/>
        <w:jc w:val="both"/>
        <w:rPr>
          <w:rStyle w:val="ya-q-full-text"/>
          <w:rFonts w:hAnsi="Times New Roman" w:cs="Times New Roman"/>
        </w:rPr>
      </w:pPr>
      <w:r w:rsidRPr="00CD5A7D">
        <w:rPr>
          <w:rStyle w:val="ya-q-full-text"/>
          <w:rFonts w:hAnsi="Times New Roman" w:cs="Times New Roman"/>
        </w:rPr>
        <w:t>En cuanto a forma de participación, no obstante de que al igual que las coaliciones, la finalidad de la Candidatura Común es postular candidatos por dos o mas partidos políticos, esta no requiere para su concreción mas que la aceptación del candidato y el convenio entre los partidos postulantes.</w:t>
      </w:r>
    </w:p>
    <w:p w14:paraId="5ED2CAE4" w14:textId="77777777" w:rsidR="00CD5A7D" w:rsidRDefault="00CD5A7D" w:rsidP="00CD5A7D">
      <w:pPr>
        <w:spacing w:line="360" w:lineRule="auto"/>
        <w:jc w:val="both"/>
        <w:rPr>
          <w:rStyle w:val="ya-q-full-text"/>
          <w:rFonts w:hAnsi="Times New Roman" w:cs="Times New Roman"/>
        </w:rPr>
      </w:pPr>
    </w:p>
    <w:p w14:paraId="57BE8636" w14:textId="77777777" w:rsidR="00F807AA" w:rsidRPr="00CD5A7D" w:rsidRDefault="00F807AA" w:rsidP="00CD5A7D">
      <w:pPr>
        <w:spacing w:line="360" w:lineRule="auto"/>
        <w:jc w:val="both"/>
        <w:rPr>
          <w:rStyle w:val="ya-q-full-text"/>
          <w:rFonts w:hAnsi="Times New Roman" w:cs="Times New Roman"/>
        </w:rPr>
      </w:pPr>
      <w:r w:rsidRPr="00CD5A7D">
        <w:rPr>
          <w:rStyle w:val="ya-q-full-text"/>
          <w:rFonts w:hAnsi="Times New Roman" w:cs="Times New Roman"/>
        </w:rPr>
        <w:t xml:space="preserve">Esta ambigüedad en los requisitos que establece la legislación Morelense, es lo que nos parece genera la inequidad de esta forma de participación respecto de las coaliciones, ya que mientras para generar una coalición, en sus distintas modalidades previstas por la ley general </w:t>
      </w:r>
      <w:bookmarkStart w:id="0" w:name="_GoBack"/>
      <w:bookmarkEnd w:id="0"/>
      <w:r w:rsidRPr="00CD5A7D">
        <w:rPr>
          <w:rStyle w:val="ya-q-full-text"/>
          <w:rFonts w:hAnsi="Times New Roman" w:cs="Times New Roman"/>
        </w:rPr>
        <w:t xml:space="preserve">de partidos políticos, totales, parciales o flexibles, la norma establece una serie de requisitos y procedimientos, que no se observan en el caso de la Candidatura Común, a saber: </w:t>
      </w:r>
    </w:p>
    <w:p w14:paraId="432FA959"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t>La posibilidad de coaligarse queda abierta tanto para las elecciones de Presidente de los Estados Unidos Mexicanos, senadores y de diputados por el principio de mayoría relativa, así como para los distintos cargos de elección popular en el ámbito local, incluyendo los titulares de los órganos Político-administrativos de las demarcaciones territoriales del Distrito Federal.</w:t>
      </w:r>
    </w:p>
    <w:p w14:paraId="16808C1C"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t xml:space="preserve">Queda restringida la posibilidad de postular candidatos propios donde ya hubiere candidatos de la coalición de la que ellos formen parte. </w:t>
      </w:r>
    </w:p>
    <w:p w14:paraId="5C8BBA4E"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t xml:space="preserve">Ningún partido político podrá registrar como candidato propio a quien ya haya sido registrado como candidato por alguna coalición. </w:t>
      </w:r>
    </w:p>
    <w:p w14:paraId="77771BA6"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t xml:space="preserve">Viceversa, ninguna coalición podrá postular como candidato de la coalición a quien ya haya sido registrado como candidato por algún partido político. </w:t>
      </w:r>
    </w:p>
    <w:p w14:paraId="2F6C9CED"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t>Deberá celebrarse el convenio de coalición en los términos que dispone la ley en su capitulo respectivo. (CAPÍTULO II De las Coaliciones, LEGIPE)</w:t>
      </w:r>
    </w:p>
    <w:p w14:paraId="74CD000B"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t xml:space="preserve">La posibilidad de coaligarse se restringe a una sola opción. </w:t>
      </w:r>
    </w:p>
    <w:p w14:paraId="77879EED"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lastRenderedPageBreak/>
        <w:t xml:space="preserve">Los votos obtenidos mediante la coalición, no pueden distribuirse o transferirse entre los partidos coaligados. </w:t>
      </w:r>
    </w:p>
    <w:p w14:paraId="28E8F0E5"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t>Su vigencia se constriñe al proceso electoral, y los candidatos que resultaren electos, se integraran en el grupo parlamentario que se haya determinado en el convenio respectivo.</w:t>
      </w:r>
    </w:p>
    <w:p w14:paraId="0B6E5258"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t>Los partidos coaligados aparecen en la boleta electoral con su propio emblema, independientemente del tipo de elección, convenio y términos que hubieren adoptados en este, según la elección de que se trate.</w:t>
      </w:r>
    </w:p>
    <w:p w14:paraId="2259A295"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t>Los votos obtenidos se suman para el candidato y cuentan para cada uno de los partidos políticos coaligados para todos los efectos.</w:t>
      </w:r>
    </w:p>
    <w:p w14:paraId="63BEF2D6"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t xml:space="preserve"> Sin importar que se haya marcado más de una opción de los partidos coaligados, los votos serán considerados válidos para el candidato postulado, y contarán como un solo voto.</w:t>
      </w:r>
    </w:p>
    <w:p w14:paraId="2F76EB3D" w14:textId="77777777" w:rsidR="00F807AA" w:rsidRPr="00CD5A7D" w:rsidRDefault="00F807AA" w:rsidP="00CD5A7D">
      <w:pPr>
        <w:pStyle w:val="Prrafodelista"/>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ya-q-full-text"/>
          <w:rFonts w:hAnsi="Times New Roman" w:cs="Times New Roman"/>
        </w:rPr>
      </w:pPr>
      <w:r w:rsidRPr="00CD5A7D">
        <w:rPr>
          <w:rStyle w:val="ya-q-full-text"/>
          <w:rFonts w:hAnsi="Times New Roman" w:cs="Times New Roman"/>
        </w:rPr>
        <w:t>En todo caso, cada uno de los partidos coaligados deberá registrar listas propias de candidatos a diputados por el principio de representación proporcional y su propia lista de candidatos a senadores por el mismo principio.</w:t>
      </w:r>
    </w:p>
    <w:p w14:paraId="002B416E" w14:textId="77777777" w:rsidR="00CD5A7D" w:rsidRDefault="00CD5A7D" w:rsidP="00CD5A7D">
      <w:pPr>
        <w:spacing w:line="360" w:lineRule="auto"/>
        <w:jc w:val="both"/>
        <w:rPr>
          <w:rStyle w:val="ya-q-full-text"/>
          <w:rFonts w:hAnsi="Times New Roman" w:cs="Times New Roman"/>
        </w:rPr>
      </w:pPr>
    </w:p>
    <w:p w14:paraId="1679CA44" w14:textId="77777777" w:rsidR="00F807AA" w:rsidRPr="00CD5A7D" w:rsidRDefault="00F807AA" w:rsidP="00CD5A7D">
      <w:pPr>
        <w:spacing w:line="360" w:lineRule="auto"/>
        <w:jc w:val="both"/>
        <w:rPr>
          <w:rStyle w:val="ya-q-full-text"/>
          <w:rFonts w:hAnsi="Times New Roman" w:cs="Times New Roman"/>
        </w:rPr>
      </w:pPr>
      <w:r w:rsidRPr="00CD5A7D">
        <w:rPr>
          <w:rStyle w:val="ya-q-full-text"/>
          <w:rFonts w:hAnsi="Times New Roman" w:cs="Times New Roman"/>
        </w:rPr>
        <w:t>En el caso de la Candidatura Común, solo se requiere la aceptación del candidato y el convenio entre los partidos políticos. Al respecto de este último requisito, no señala la legislación bajo que circunstancias debe celebrarse este convenio, ni las condiciones o clausulado debe contener este, lo que nos permite inferir que se deja al arbitrio de los partidos políticos conforme a lo que establecen los estatutos de cada uno de ellos.</w:t>
      </w:r>
    </w:p>
    <w:tbl>
      <w:tblPr>
        <w:tblStyle w:val="Tablaconcuadrcula"/>
        <w:tblpPr w:leftFromText="141" w:rightFromText="141" w:horzAnchor="margin" w:tblpY="-1080"/>
        <w:tblW w:w="9067" w:type="dxa"/>
        <w:tblLook w:val="04A0" w:firstRow="1" w:lastRow="0" w:firstColumn="1" w:lastColumn="0" w:noHBand="0" w:noVBand="1"/>
      </w:tblPr>
      <w:tblGrid>
        <w:gridCol w:w="1257"/>
        <w:gridCol w:w="1669"/>
        <w:gridCol w:w="1803"/>
        <w:gridCol w:w="4338"/>
      </w:tblGrid>
      <w:tr w:rsidR="00837807" w:rsidRPr="00681EEF" w14:paraId="441EEDA7" w14:textId="77777777" w:rsidTr="00837807">
        <w:tc>
          <w:tcPr>
            <w:tcW w:w="1170" w:type="dxa"/>
            <w:shd w:val="clear" w:color="auto" w:fill="FFD966" w:themeFill="accent4" w:themeFillTint="99"/>
          </w:tcPr>
          <w:p w14:paraId="049F75E4" w14:textId="77777777" w:rsidR="00837807" w:rsidRPr="00681EEF" w:rsidRDefault="00837807" w:rsidP="00837807">
            <w:pPr>
              <w:jc w:val="center"/>
              <w:rPr>
                <w:rFonts w:hAnsi="Times New Roman" w:cs="Times New Roman"/>
              </w:rPr>
            </w:pPr>
            <w:r w:rsidRPr="00681EEF">
              <w:rPr>
                <w:rFonts w:hAnsi="Times New Roman" w:cs="Times New Roman"/>
              </w:rPr>
              <w:lastRenderedPageBreak/>
              <w:t>NÚMERO</w:t>
            </w:r>
          </w:p>
        </w:tc>
        <w:tc>
          <w:tcPr>
            <w:tcW w:w="1548" w:type="dxa"/>
            <w:shd w:val="clear" w:color="auto" w:fill="FFD966" w:themeFill="accent4" w:themeFillTint="99"/>
          </w:tcPr>
          <w:p w14:paraId="747A5B7B" w14:textId="77777777" w:rsidR="00837807" w:rsidRPr="00681EEF" w:rsidRDefault="00837807" w:rsidP="00837807">
            <w:pPr>
              <w:jc w:val="center"/>
              <w:rPr>
                <w:rFonts w:hAnsi="Times New Roman" w:cs="Times New Roman"/>
              </w:rPr>
            </w:pPr>
            <w:r w:rsidRPr="00681EEF">
              <w:rPr>
                <w:rFonts w:hAnsi="Times New Roman" w:cs="Times New Roman"/>
              </w:rPr>
              <w:t>ENTIDAD</w:t>
            </w:r>
          </w:p>
        </w:tc>
        <w:tc>
          <w:tcPr>
            <w:tcW w:w="1388" w:type="dxa"/>
            <w:shd w:val="clear" w:color="auto" w:fill="FFD966" w:themeFill="accent4" w:themeFillTint="99"/>
          </w:tcPr>
          <w:p w14:paraId="15146B9B" w14:textId="77777777" w:rsidR="00837807" w:rsidRPr="00681EEF" w:rsidRDefault="00837807" w:rsidP="00837807">
            <w:pPr>
              <w:jc w:val="center"/>
              <w:rPr>
                <w:rFonts w:hAnsi="Times New Roman" w:cs="Times New Roman"/>
              </w:rPr>
            </w:pPr>
            <w:r w:rsidRPr="00681EEF">
              <w:rPr>
                <w:rFonts w:hAnsi="Times New Roman" w:cs="Times New Roman"/>
              </w:rPr>
              <w:t>LEGISLACIÓN</w:t>
            </w:r>
          </w:p>
        </w:tc>
        <w:tc>
          <w:tcPr>
            <w:tcW w:w="4961" w:type="dxa"/>
            <w:shd w:val="clear" w:color="auto" w:fill="FFD966" w:themeFill="accent4" w:themeFillTint="99"/>
          </w:tcPr>
          <w:p w14:paraId="4B70DEC4" w14:textId="77777777" w:rsidR="00837807" w:rsidRPr="00681EEF" w:rsidRDefault="00837807" w:rsidP="00837807">
            <w:pPr>
              <w:jc w:val="center"/>
              <w:rPr>
                <w:rFonts w:hAnsi="Times New Roman" w:cs="Times New Roman"/>
              </w:rPr>
            </w:pPr>
            <w:r w:rsidRPr="00681EEF">
              <w:rPr>
                <w:rFonts w:hAnsi="Times New Roman" w:cs="Times New Roman"/>
              </w:rPr>
              <w:t>CONTEMPLAN CANDIDATURA COMÚN</w:t>
            </w:r>
          </w:p>
        </w:tc>
      </w:tr>
      <w:tr w:rsidR="00837807" w:rsidRPr="00681EEF" w14:paraId="6CBD9650" w14:textId="77777777" w:rsidTr="00837807">
        <w:tc>
          <w:tcPr>
            <w:tcW w:w="1170" w:type="dxa"/>
          </w:tcPr>
          <w:p w14:paraId="71900172" w14:textId="77777777" w:rsidR="00837807" w:rsidRPr="00681EEF" w:rsidRDefault="00837807" w:rsidP="00837807">
            <w:pPr>
              <w:jc w:val="both"/>
              <w:rPr>
                <w:rFonts w:hAnsi="Times New Roman" w:cs="Times New Roman"/>
              </w:rPr>
            </w:pPr>
            <w:r w:rsidRPr="00681EEF">
              <w:rPr>
                <w:rFonts w:hAnsi="Times New Roman" w:cs="Times New Roman"/>
              </w:rPr>
              <w:t>1</w:t>
            </w:r>
          </w:p>
        </w:tc>
        <w:tc>
          <w:tcPr>
            <w:tcW w:w="1548" w:type="dxa"/>
          </w:tcPr>
          <w:p w14:paraId="3C947431" w14:textId="77777777" w:rsidR="00837807" w:rsidRPr="00681EEF" w:rsidRDefault="00837807" w:rsidP="00837807">
            <w:pPr>
              <w:jc w:val="both"/>
              <w:rPr>
                <w:rFonts w:hAnsi="Times New Roman" w:cs="Times New Roman"/>
              </w:rPr>
            </w:pPr>
            <w:r w:rsidRPr="00681EEF">
              <w:rPr>
                <w:rFonts w:hAnsi="Times New Roman" w:cs="Times New Roman"/>
              </w:rPr>
              <w:t>Aguascalientes</w:t>
            </w:r>
          </w:p>
        </w:tc>
        <w:tc>
          <w:tcPr>
            <w:tcW w:w="1388" w:type="dxa"/>
          </w:tcPr>
          <w:p w14:paraId="263A465B" w14:textId="77777777" w:rsidR="00837807" w:rsidRPr="00681EEF" w:rsidRDefault="00837807" w:rsidP="00837807">
            <w:pPr>
              <w:jc w:val="both"/>
              <w:rPr>
                <w:rFonts w:hAnsi="Times New Roman" w:cs="Times New Roman"/>
              </w:rPr>
            </w:pPr>
            <w:r w:rsidRPr="00681EEF">
              <w:rPr>
                <w:rFonts w:hAnsi="Times New Roman" w:cs="Times New Roman"/>
              </w:rPr>
              <w:t>Código Electoral del Estado de Aguascalientes</w:t>
            </w:r>
          </w:p>
        </w:tc>
        <w:tc>
          <w:tcPr>
            <w:tcW w:w="4961" w:type="dxa"/>
          </w:tcPr>
          <w:p w14:paraId="24A9E0A2" w14:textId="77777777" w:rsidR="00837807" w:rsidRPr="00681EEF" w:rsidRDefault="00837807" w:rsidP="00837807">
            <w:pPr>
              <w:jc w:val="both"/>
              <w:rPr>
                <w:rFonts w:hAnsi="Times New Roman" w:cs="Times New Roman"/>
              </w:rPr>
            </w:pPr>
            <w:r w:rsidRPr="00681EEF">
              <w:rPr>
                <w:rFonts w:hAnsi="Times New Roman" w:cs="Times New Roman"/>
                <w:b/>
              </w:rPr>
              <w:t>ARTÍCULO 57 A.-</w:t>
            </w:r>
            <w:r w:rsidRPr="00681EEF">
              <w:rPr>
                <w:rFonts w:hAnsi="Times New Roman" w:cs="Times New Roman"/>
              </w:rPr>
              <w:t xml:space="preserve"> En los procesos electorales, los partidos tendrán derecho a postular candidatos, fórmulas o planillas por sí mismos, en coalición o en </w:t>
            </w:r>
            <w:r w:rsidRPr="00681EEF">
              <w:rPr>
                <w:rFonts w:hAnsi="Times New Roman" w:cs="Times New Roman"/>
                <w:b/>
                <w:u w:val="single"/>
              </w:rPr>
              <w:t>candidatura común</w:t>
            </w:r>
            <w:r w:rsidRPr="00681EEF">
              <w:rPr>
                <w:rFonts w:hAnsi="Times New Roman" w:cs="Times New Roman"/>
              </w:rPr>
              <w:t xml:space="preserve"> con otros partidos en los términos establecidos en la Ley General de Partidos Políticos, los Reglamentos aplicables que expida el INE, y este Código.</w:t>
            </w:r>
          </w:p>
          <w:p w14:paraId="4D951E70" w14:textId="03D59B42" w:rsidR="00837807" w:rsidRPr="00681EEF" w:rsidRDefault="00837807" w:rsidP="00837807">
            <w:pPr>
              <w:jc w:val="both"/>
              <w:rPr>
                <w:rFonts w:hAnsi="Times New Roman" w:cs="Times New Roman"/>
                <w:b/>
              </w:rPr>
            </w:pPr>
          </w:p>
        </w:tc>
      </w:tr>
      <w:tr w:rsidR="00837807" w:rsidRPr="00681EEF" w14:paraId="5BF1352D" w14:textId="77777777" w:rsidTr="00837807">
        <w:tc>
          <w:tcPr>
            <w:tcW w:w="1170" w:type="dxa"/>
          </w:tcPr>
          <w:p w14:paraId="403C5CEB" w14:textId="77777777" w:rsidR="00837807" w:rsidRPr="00681EEF" w:rsidRDefault="00837807" w:rsidP="00837807">
            <w:pPr>
              <w:jc w:val="both"/>
              <w:rPr>
                <w:rFonts w:hAnsi="Times New Roman" w:cs="Times New Roman"/>
              </w:rPr>
            </w:pPr>
            <w:r w:rsidRPr="00681EEF">
              <w:rPr>
                <w:rFonts w:hAnsi="Times New Roman" w:cs="Times New Roman"/>
              </w:rPr>
              <w:t>2</w:t>
            </w:r>
          </w:p>
        </w:tc>
        <w:tc>
          <w:tcPr>
            <w:tcW w:w="1548" w:type="dxa"/>
          </w:tcPr>
          <w:p w14:paraId="66C585E6" w14:textId="77777777" w:rsidR="00837807" w:rsidRPr="00681EEF" w:rsidRDefault="00837807" w:rsidP="00837807">
            <w:pPr>
              <w:jc w:val="both"/>
              <w:rPr>
                <w:rFonts w:hAnsi="Times New Roman" w:cs="Times New Roman"/>
              </w:rPr>
            </w:pPr>
            <w:r w:rsidRPr="00681EEF">
              <w:rPr>
                <w:rFonts w:hAnsi="Times New Roman" w:cs="Times New Roman"/>
              </w:rPr>
              <w:t>Baja California</w:t>
            </w:r>
          </w:p>
        </w:tc>
        <w:tc>
          <w:tcPr>
            <w:tcW w:w="1388" w:type="dxa"/>
          </w:tcPr>
          <w:p w14:paraId="42AEC34A" w14:textId="77777777" w:rsidR="00837807" w:rsidRPr="00681EEF" w:rsidRDefault="00837807" w:rsidP="00837807">
            <w:pPr>
              <w:jc w:val="both"/>
              <w:rPr>
                <w:rFonts w:hAnsi="Times New Roman" w:cs="Times New Roman"/>
              </w:rPr>
            </w:pPr>
            <w:r w:rsidRPr="00681EEF">
              <w:rPr>
                <w:rFonts w:hAnsi="Times New Roman" w:cs="Times New Roman"/>
              </w:rPr>
              <w:t>Ley Electoral del Estado de Baja California</w:t>
            </w:r>
          </w:p>
        </w:tc>
        <w:tc>
          <w:tcPr>
            <w:tcW w:w="4961" w:type="dxa"/>
          </w:tcPr>
          <w:p w14:paraId="4586B597" w14:textId="77777777" w:rsidR="00837807" w:rsidRPr="00681EEF" w:rsidRDefault="00837807" w:rsidP="00837807">
            <w:pPr>
              <w:jc w:val="both"/>
              <w:rPr>
                <w:rFonts w:hAnsi="Times New Roman" w:cs="Times New Roman"/>
              </w:rPr>
            </w:pPr>
            <w:r w:rsidRPr="00681EEF">
              <w:rPr>
                <w:rFonts w:hAnsi="Times New Roman" w:cs="Times New Roman"/>
              </w:rPr>
              <w:t xml:space="preserve">No lo contempla. </w:t>
            </w:r>
          </w:p>
        </w:tc>
      </w:tr>
      <w:tr w:rsidR="00837807" w:rsidRPr="00681EEF" w14:paraId="721C54AD" w14:textId="77777777" w:rsidTr="00837807">
        <w:tc>
          <w:tcPr>
            <w:tcW w:w="1170" w:type="dxa"/>
          </w:tcPr>
          <w:p w14:paraId="4F91D896" w14:textId="77777777" w:rsidR="00837807" w:rsidRPr="00681EEF" w:rsidRDefault="00837807" w:rsidP="00837807">
            <w:pPr>
              <w:jc w:val="both"/>
              <w:rPr>
                <w:rFonts w:hAnsi="Times New Roman" w:cs="Times New Roman"/>
              </w:rPr>
            </w:pPr>
            <w:r w:rsidRPr="00681EEF">
              <w:rPr>
                <w:rFonts w:hAnsi="Times New Roman" w:cs="Times New Roman"/>
              </w:rPr>
              <w:t>3</w:t>
            </w:r>
          </w:p>
        </w:tc>
        <w:tc>
          <w:tcPr>
            <w:tcW w:w="1548" w:type="dxa"/>
          </w:tcPr>
          <w:p w14:paraId="292ED925" w14:textId="77777777" w:rsidR="00837807" w:rsidRPr="00681EEF" w:rsidRDefault="00837807" w:rsidP="00837807">
            <w:pPr>
              <w:jc w:val="both"/>
              <w:rPr>
                <w:rFonts w:hAnsi="Times New Roman" w:cs="Times New Roman"/>
              </w:rPr>
            </w:pPr>
            <w:r w:rsidRPr="00681EEF">
              <w:rPr>
                <w:rFonts w:hAnsi="Times New Roman" w:cs="Times New Roman"/>
              </w:rPr>
              <w:t>Baja California Sur</w:t>
            </w:r>
          </w:p>
        </w:tc>
        <w:tc>
          <w:tcPr>
            <w:tcW w:w="1388" w:type="dxa"/>
          </w:tcPr>
          <w:p w14:paraId="054D3471" w14:textId="77777777" w:rsidR="00837807" w:rsidRPr="00681EEF" w:rsidRDefault="00837807" w:rsidP="00837807">
            <w:pPr>
              <w:jc w:val="both"/>
              <w:rPr>
                <w:rFonts w:hAnsi="Times New Roman" w:cs="Times New Roman"/>
              </w:rPr>
            </w:pPr>
            <w:r w:rsidRPr="00681EEF">
              <w:rPr>
                <w:rFonts w:hAnsi="Times New Roman" w:cs="Times New Roman"/>
              </w:rPr>
              <w:t>Ley Electoral del Estado de Baja California Sur</w:t>
            </w:r>
          </w:p>
        </w:tc>
        <w:tc>
          <w:tcPr>
            <w:tcW w:w="4961" w:type="dxa"/>
          </w:tcPr>
          <w:p w14:paraId="2E4F2F44" w14:textId="77777777" w:rsidR="00837807" w:rsidRPr="00681EEF" w:rsidRDefault="00837807" w:rsidP="00837807">
            <w:pPr>
              <w:jc w:val="both"/>
              <w:rPr>
                <w:rFonts w:hAnsi="Times New Roman" w:cs="Times New Roman"/>
                <w:b/>
              </w:rPr>
            </w:pPr>
          </w:p>
          <w:p w14:paraId="2ED51C92" w14:textId="77777777" w:rsidR="00837807" w:rsidRPr="00681EEF" w:rsidRDefault="00837807" w:rsidP="00837807">
            <w:pPr>
              <w:jc w:val="both"/>
              <w:rPr>
                <w:rFonts w:hAnsi="Times New Roman" w:cs="Times New Roman"/>
              </w:rPr>
            </w:pPr>
            <w:r w:rsidRPr="00681EEF">
              <w:rPr>
                <w:rFonts w:hAnsi="Times New Roman" w:cs="Times New Roman"/>
                <w:b/>
              </w:rPr>
              <w:t>Artículo 174.-</w:t>
            </w:r>
            <w:r w:rsidRPr="00681EEF">
              <w:rPr>
                <w:rFonts w:hAnsi="Times New Roman" w:cs="Times New Roman"/>
              </w:rPr>
              <w:t xml:space="preserve"> Los partidos políticos con registro, tendrán derecho a postular candidaturas comunes para la elección de gobernador, </w:t>
            </w:r>
            <w:r w:rsidRPr="00681EEF">
              <w:rPr>
                <w:rFonts w:hAnsi="Times New Roman" w:cs="Times New Roman"/>
                <w:b/>
              </w:rPr>
              <w:t>diputados de mayoría y planillas de ayuntamientos</w:t>
            </w:r>
            <w:r w:rsidRPr="00681EEF">
              <w:rPr>
                <w:rFonts w:hAnsi="Times New Roman" w:cs="Times New Roman"/>
              </w:rPr>
              <w:t xml:space="preserve">. Los partidos políticos que postulen candidato común deberán suscribir un convenio firmado por sus representantes y dirigentes, el que deberán presentar para su registro ante el Instituto, hasta cinco días antes del inicio del periodo de registro de candidatos de la elección de que se trate. </w:t>
            </w:r>
          </w:p>
          <w:p w14:paraId="1A19FD6F" w14:textId="51136E64" w:rsidR="00837807" w:rsidRPr="00681EEF" w:rsidRDefault="00837807" w:rsidP="00837807">
            <w:pPr>
              <w:jc w:val="both"/>
              <w:rPr>
                <w:rFonts w:hAnsi="Times New Roman" w:cs="Times New Roman"/>
                <w:b/>
              </w:rPr>
            </w:pPr>
          </w:p>
        </w:tc>
      </w:tr>
      <w:tr w:rsidR="00837807" w:rsidRPr="00681EEF" w14:paraId="1739559F" w14:textId="77777777" w:rsidTr="00837807">
        <w:tc>
          <w:tcPr>
            <w:tcW w:w="1170" w:type="dxa"/>
          </w:tcPr>
          <w:p w14:paraId="43E96A62" w14:textId="77777777" w:rsidR="00837807" w:rsidRPr="00681EEF" w:rsidRDefault="00837807" w:rsidP="00837807">
            <w:pPr>
              <w:jc w:val="both"/>
              <w:rPr>
                <w:rFonts w:hAnsi="Times New Roman" w:cs="Times New Roman"/>
              </w:rPr>
            </w:pPr>
            <w:r w:rsidRPr="00681EEF">
              <w:rPr>
                <w:rFonts w:hAnsi="Times New Roman" w:cs="Times New Roman"/>
              </w:rPr>
              <w:t>4</w:t>
            </w:r>
          </w:p>
        </w:tc>
        <w:tc>
          <w:tcPr>
            <w:tcW w:w="1548" w:type="dxa"/>
          </w:tcPr>
          <w:p w14:paraId="6CA2FD0D" w14:textId="77777777" w:rsidR="00837807" w:rsidRPr="00681EEF" w:rsidRDefault="00837807" w:rsidP="00837807">
            <w:pPr>
              <w:jc w:val="both"/>
              <w:rPr>
                <w:rFonts w:hAnsi="Times New Roman" w:cs="Times New Roman"/>
              </w:rPr>
            </w:pPr>
            <w:r w:rsidRPr="00681EEF">
              <w:rPr>
                <w:rFonts w:hAnsi="Times New Roman" w:cs="Times New Roman"/>
              </w:rPr>
              <w:t>Campeche</w:t>
            </w:r>
          </w:p>
        </w:tc>
        <w:tc>
          <w:tcPr>
            <w:tcW w:w="1388" w:type="dxa"/>
          </w:tcPr>
          <w:p w14:paraId="43D2D88E" w14:textId="77777777" w:rsidR="00837807" w:rsidRPr="00681EEF" w:rsidRDefault="00837807" w:rsidP="00837807">
            <w:pPr>
              <w:jc w:val="both"/>
              <w:rPr>
                <w:rFonts w:hAnsi="Times New Roman" w:cs="Times New Roman"/>
              </w:rPr>
            </w:pPr>
            <w:r w:rsidRPr="00681EEF">
              <w:rPr>
                <w:rFonts w:hAnsi="Times New Roman" w:cs="Times New Roman"/>
              </w:rPr>
              <w:t>Ley de Instituciones y Procedimientos Electorales del Estado de Campeche</w:t>
            </w:r>
          </w:p>
        </w:tc>
        <w:tc>
          <w:tcPr>
            <w:tcW w:w="4961" w:type="dxa"/>
          </w:tcPr>
          <w:p w14:paraId="0ACA8ABE" w14:textId="77777777" w:rsidR="00837807" w:rsidRPr="00681EEF" w:rsidRDefault="00837807" w:rsidP="00837807">
            <w:pPr>
              <w:jc w:val="both"/>
              <w:rPr>
                <w:rFonts w:hAnsi="Times New Roman" w:cs="Times New Roman"/>
              </w:rPr>
            </w:pPr>
            <w:r w:rsidRPr="00681EEF">
              <w:rPr>
                <w:rFonts w:hAnsi="Times New Roman" w:cs="Times New Roman"/>
              </w:rPr>
              <w:t>No lo contempla.</w:t>
            </w:r>
          </w:p>
        </w:tc>
      </w:tr>
      <w:tr w:rsidR="00837807" w:rsidRPr="00681EEF" w14:paraId="756CC128" w14:textId="77777777" w:rsidTr="00837807">
        <w:tc>
          <w:tcPr>
            <w:tcW w:w="1170" w:type="dxa"/>
          </w:tcPr>
          <w:p w14:paraId="0D9669E4" w14:textId="77777777" w:rsidR="00837807" w:rsidRPr="00681EEF" w:rsidRDefault="00837807" w:rsidP="00837807">
            <w:pPr>
              <w:jc w:val="both"/>
              <w:rPr>
                <w:rFonts w:hAnsi="Times New Roman" w:cs="Times New Roman"/>
              </w:rPr>
            </w:pPr>
            <w:r w:rsidRPr="00681EEF">
              <w:rPr>
                <w:rFonts w:hAnsi="Times New Roman" w:cs="Times New Roman"/>
              </w:rPr>
              <w:t>5</w:t>
            </w:r>
          </w:p>
        </w:tc>
        <w:tc>
          <w:tcPr>
            <w:tcW w:w="1548" w:type="dxa"/>
          </w:tcPr>
          <w:p w14:paraId="5E68FAFC" w14:textId="77777777" w:rsidR="00837807" w:rsidRPr="00681EEF" w:rsidRDefault="00837807" w:rsidP="00837807">
            <w:pPr>
              <w:jc w:val="both"/>
              <w:rPr>
                <w:rFonts w:hAnsi="Times New Roman" w:cs="Times New Roman"/>
              </w:rPr>
            </w:pPr>
            <w:r w:rsidRPr="00681EEF">
              <w:rPr>
                <w:rFonts w:hAnsi="Times New Roman" w:cs="Times New Roman"/>
              </w:rPr>
              <w:t>Chiapas</w:t>
            </w:r>
          </w:p>
        </w:tc>
        <w:tc>
          <w:tcPr>
            <w:tcW w:w="1388" w:type="dxa"/>
          </w:tcPr>
          <w:p w14:paraId="7C71875C" w14:textId="77777777" w:rsidR="00837807" w:rsidRPr="00681EEF" w:rsidRDefault="00837807" w:rsidP="00837807">
            <w:pPr>
              <w:jc w:val="both"/>
              <w:rPr>
                <w:rFonts w:hAnsi="Times New Roman" w:cs="Times New Roman"/>
              </w:rPr>
            </w:pPr>
            <w:r w:rsidRPr="00681EEF">
              <w:rPr>
                <w:rFonts w:hAnsi="Times New Roman" w:cs="Times New Roman"/>
              </w:rPr>
              <w:t>Ley de Instituciones y Procedimientos Electorales del Estado de Chiapas</w:t>
            </w:r>
          </w:p>
        </w:tc>
        <w:tc>
          <w:tcPr>
            <w:tcW w:w="4961" w:type="dxa"/>
          </w:tcPr>
          <w:p w14:paraId="2A62D141" w14:textId="77777777" w:rsidR="00837807" w:rsidRPr="00681EEF" w:rsidRDefault="00837807" w:rsidP="00837807">
            <w:pPr>
              <w:jc w:val="both"/>
              <w:rPr>
                <w:rFonts w:hAnsi="Times New Roman" w:cs="Times New Roman"/>
              </w:rPr>
            </w:pPr>
            <w:r w:rsidRPr="00681EEF">
              <w:rPr>
                <w:rFonts w:hAnsi="Times New Roman" w:cs="Times New Roman"/>
                <w:b/>
              </w:rPr>
              <w:t>Artículo 61.</w:t>
            </w:r>
            <w:r w:rsidRPr="00681EEF">
              <w:rPr>
                <w:rFonts w:hAnsi="Times New Roman" w:cs="Times New Roman"/>
              </w:rPr>
              <w:t xml:space="preserve"> 1. Los Partidos Políticos podrán postular candidatas o </w:t>
            </w:r>
            <w:r w:rsidRPr="00681EEF">
              <w:rPr>
                <w:rFonts w:hAnsi="Times New Roman" w:cs="Times New Roman"/>
                <w:b/>
                <w:u w:val="single"/>
              </w:rPr>
              <w:t>candidatos comunes</w:t>
            </w:r>
            <w:r w:rsidRPr="00681EEF">
              <w:rPr>
                <w:rFonts w:hAnsi="Times New Roman" w:cs="Times New Roman"/>
              </w:rPr>
              <w:t xml:space="preserve"> para las elecciones de Gobernador, Diputados por el principio de mayoría relativa o integrantes de Ayuntamientos, bajo las siguientes bases:</w:t>
            </w:r>
          </w:p>
          <w:p w14:paraId="2C0275C5" w14:textId="77777777" w:rsidR="00837807" w:rsidRPr="00681EEF" w:rsidRDefault="00837807" w:rsidP="00837807">
            <w:pPr>
              <w:jc w:val="both"/>
              <w:rPr>
                <w:rFonts w:hAnsi="Times New Roman" w:cs="Times New Roman"/>
              </w:rPr>
            </w:pPr>
            <w:r w:rsidRPr="00681EEF">
              <w:rPr>
                <w:rFonts w:hAnsi="Times New Roman" w:cs="Times New Roman"/>
                <w:b/>
              </w:rPr>
              <w:t>Numeral 4 del mismo artículo y Artículo 168 numeral 11, fracción II.</w:t>
            </w:r>
            <w:r w:rsidRPr="00681EEF">
              <w:rPr>
                <w:rFonts w:hAnsi="Times New Roman" w:cs="Times New Roman"/>
              </w:rPr>
              <w:t xml:space="preserve"> </w:t>
            </w:r>
          </w:p>
        </w:tc>
      </w:tr>
      <w:tr w:rsidR="00837807" w:rsidRPr="00681EEF" w14:paraId="19A54984" w14:textId="77777777" w:rsidTr="00837807">
        <w:tc>
          <w:tcPr>
            <w:tcW w:w="1170" w:type="dxa"/>
          </w:tcPr>
          <w:p w14:paraId="683B1D61" w14:textId="77777777" w:rsidR="00837807" w:rsidRPr="00681EEF" w:rsidRDefault="00837807" w:rsidP="00837807">
            <w:pPr>
              <w:jc w:val="both"/>
              <w:rPr>
                <w:rFonts w:hAnsi="Times New Roman" w:cs="Times New Roman"/>
              </w:rPr>
            </w:pPr>
            <w:r w:rsidRPr="00681EEF">
              <w:rPr>
                <w:rFonts w:hAnsi="Times New Roman" w:cs="Times New Roman"/>
              </w:rPr>
              <w:t>6</w:t>
            </w:r>
          </w:p>
        </w:tc>
        <w:tc>
          <w:tcPr>
            <w:tcW w:w="1548" w:type="dxa"/>
          </w:tcPr>
          <w:p w14:paraId="3EE30A33" w14:textId="77777777" w:rsidR="00837807" w:rsidRPr="00681EEF" w:rsidRDefault="00837807" w:rsidP="00837807">
            <w:pPr>
              <w:jc w:val="both"/>
              <w:rPr>
                <w:rFonts w:hAnsi="Times New Roman" w:cs="Times New Roman"/>
              </w:rPr>
            </w:pPr>
            <w:r w:rsidRPr="00681EEF">
              <w:rPr>
                <w:rFonts w:hAnsi="Times New Roman" w:cs="Times New Roman"/>
              </w:rPr>
              <w:t>Chihuahua</w:t>
            </w:r>
          </w:p>
        </w:tc>
        <w:tc>
          <w:tcPr>
            <w:tcW w:w="1388" w:type="dxa"/>
          </w:tcPr>
          <w:p w14:paraId="270B18F3" w14:textId="77777777" w:rsidR="00837807" w:rsidRPr="00681EEF" w:rsidRDefault="00837807" w:rsidP="00837807">
            <w:pPr>
              <w:jc w:val="both"/>
              <w:rPr>
                <w:rFonts w:hAnsi="Times New Roman" w:cs="Times New Roman"/>
              </w:rPr>
            </w:pPr>
            <w:r w:rsidRPr="00681EEF">
              <w:rPr>
                <w:rFonts w:hAnsi="Times New Roman" w:cs="Times New Roman"/>
              </w:rPr>
              <w:t>Ley Electoral del Estado de Chihuahua</w:t>
            </w:r>
          </w:p>
        </w:tc>
        <w:tc>
          <w:tcPr>
            <w:tcW w:w="4961" w:type="dxa"/>
          </w:tcPr>
          <w:p w14:paraId="6FC8F49F" w14:textId="77777777" w:rsidR="00837807" w:rsidRPr="00681EEF" w:rsidRDefault="00837807" w:rsidP="00837807">
            <w:pPr>
              <w:jc w:val="both"/>
              <w:rPr>
                <w:rFonts w:hAnsi="Times New Roman" w:cs="Times New Roman"/>
              </w:rPr>
            </w:pPr>
            <w:r w:rsidRPr="00681EEF">
              <w:rPr>
                <w:rFonts w:hAnsi="Times New Roman" w:cs="Times New Roman"/>
                <w:b/>
                <w:u w:val="single"/>
              </w:rPr>
              <w:t>Artículo 43 1)</w:t>
            </w:r>
            <w:r w:rsidRPr="00681EEF">
              <w:rPr>
                <w:rFonts w:hAnsi="Times New Roman" w:cs="Times New Roman"/>
              </w:rPr>
              <w:t xml:space="preserve"> La candidatura común es la unión de dos o más partidos políticos, sin mediar coalición.</w:t>
            </w:r>
          </w:p>
          <w:p w14:paraId="0B5D6982" w14:textId="77777777" w:rsidR="00837807" w:rsidRPr="00681EEF" w:rsidRDefault="00837807" w:rsidP="00837807">
            <w:pPr>
              <w:jc w:val="both"/>
              <w:rPr>
                <w:rFonts w:hAnsi="Times New Roman" w:cs="Times New Roman"/>
                <w:b/>
              </w:rPr>
            </w:pPr>
            <w:r w:rsidRPr="00681EEF">
              <w:rPr>
                <w:rFonts w:hAnsi="Times New Roman" w:cs="Times New Roman"/>
                <w:b/>
              </w:rPr>
              <w:lastRenderedPageBreak/>
              <w:t>Numerales 2,3,  del mismo artículo  y Artículo 44.</w:t>
            </w:r>
          </w:p>
        </w:tc>
      </w:tr>
      <w:tr w:rsidR="00837807" w:rsidRPr="00681EEF" w14:paraId="268EDFC1" w14:textId="77777777" w:rsidTr="00837807">
        <w:tc>
          <w:tcPr>
            <w:tcW w:w="1170" w:type="dxa"/>
          </w:tcPr>
          <w:p w14:paraId="750203A6" w14:textId="77777777" w:rsidR="00837807" w:rsidRPr="00681EEF" w:rsidRDefault="00837807" w:rsidP="00837807">
            <w:pPr>
              <w:jc w:val="both"/>
              <w:rPr>
                <w:rFonts w:hAnsi="Times New Roman" w:cs="Times New Roman"/>
              </w:rPr>
            </w:pPr>
            <w:r w:rsidRPr="00681EEF">
              <w:rPr>
                <w:rFonts w:hAnsi="Times New Roman" w:cs="Times New Roman"/>
              </w:rPr>
              <w:lastRenderedPageBreak/>
              <w:t>7</w:t>
            </w:r>
          </w:p>
        </w:tc>
        <w:tc>
          <w:tcPr>
            <w:tcW w:w="1548" w:type="dxa"/>
          </w:tcPr>
          <w:p w14:paraId="6952E812" w14:textId="77777777" w:rsidR="00837807" w:rsidRPr="00681EEF" w:rsidRDefault="00837807" w:rsidP="00837807">
            <w:pPr>
              <w:jc w:val="both"/>
              <w:rPr>
                <w:rFonts w:hAnsi="Times New Roman" w:cs="Times New Roman"/>
              </w:rPr>
            </w:pPr>
            <w:r w:rsidRPr="00681EEF">
              <w:rPr>
                <w:rFonts w:hAnsi="Times New Roman" w:cs="Times New Roman"/>
              </w:rPr>
              <w:t>Ciudad de México</w:t>
            </w:r>
          </w:p>
        </w:tc>
        <w:tc>
          <w:tcPr>
            <w:tcW w:w="1388" w:type="dxa"/>
          </w:tcPr>
          <w:p w14:paraId="2C9DE29E" w14:textId="77777777" w:rsidR="00837807" w:rsidRPr="00681EEF" w:rsidRDefault="00837807" w:rsidP="00837807">
            <w:pPr>
              <w:jc w:val="both"/>
              <w:rPr>
                <w:rFonts w:hAnsi="Times New Roman" w:cs="Times New Roman"/>
              </w:rPr>
            </w:pPr>
            <w:r w:rsidRPr="00681EEF">
              <w:rPr>
                <w:rFonts w:hAnsi="Times New Roman" w:cs="Times New Roman"/>
              </w:rPr>
              <w:t>Ley de Instituciones y Procedimientos Electorales de la Ciudad de México</w:t>
            </w:r>
          </w:p>
        </w:tc>
        <w:tc>
          <w:tcPr>
            <w:tcW w:w="4961" w:type="dxa"/>
          </w:tcPr>
          <w:p w14:paraId="400B8657" w14:textId="77777777" w:rsidR="00837807" w:rsidRPr="00681EEF" w:rsidRDefault="00837807" w:rsidP="00837807">
            <w:pPr>
              <w:pStyle w:val="Estilo"/>
              <w:jc w:val="center"/>
              <w:rPr>
                <w:rFonts w:ascii="Times New Roman" w:hAnsi="Times New Roman" w:cs="Times New Roman"/>
                <w:b/>
                <w:sz w:val="22"/>
              </w:rPr>
            </w:pPr>
            <w:r w:rsidRPr="00681EEF">
              <w:rPr>
                <w:rFonts w:ascii="Times New Roman" w:hAnsi="Times New Roman" w:cs="Times New Roman"/>
                <w:b/>
                <w:sz w:val="22"/>
              </w:rPr>
              <w:t>Sección Tercera</w:t>
            </w:r>
          </w:p>
          <w:p w14:paraId="152D8143" w14:textId="77777777" w:rsidR="00837807" w:rsidRPr="00681EEF" w:rsidRDefault="00837807" w:rsidP="00837807">
            <w:pPr>
              <w:pStyle w:val="Estilo"/>
              <w:jc w:val="center"/>
              <w:rPr>
                <w:rFonts w:ascii="Times New Roman" w:hAnsi="Times New Roman" w:cs="Times New Roman"/>
                <w:b/>
                <w:sz w:val="22"/>
              </w:rPr>
            </w:pPr>
            <w:r w:rsidRPr="00681EEF">
              <w:rPr>
                <w:rFonts w:ascii="Times New Roman" w:hAnsi="Times New Roman" w:cs="Times New Roman"/>
                <w:b/>
                <w:sz w:val="22"/>
              </w:rPr>
              <w:t>De las Candidaturas Comunes</w:t>
            </w:r>
          </w:p>
          <w:p w14:paraId="0DC4B006" w14:textId="77777777" w:rsidR="00837807" w:rsidRPr="00681EEF" w:rsidRDefault="00837807" w:rsidP="00837807">
            <w:pPr>
              <w:pStyle w:val="Estilo"/>
              <w:rPr>
                <w:rFonts w:ascii="Times New Roman" w:hAnsi="Times New Roman" w:cs="Times New Roman"/>
                <w:sz w:val="22"/>
              </w:rPr>
            </w:pPr>
            <w:r w:rsidRPr="00681EEF">
              <w:rPr>
                <w:rFonts w:ascii="Times New Roman" w:hAnsi="Times New Roman" w:cs="Times New Roman"/>
                <w:b/>
                <w:sz w:val="22"/>
                <w:u w:val="single"/>
              </w:rPr>
              <w:t>Artículo 298.</w:t>
            </w:r>
            <w:r w:rsidRPr="00681EEF">
              <w:rPr>
                <w:rFonts w:ascii="Times New Roman" w:hAnsi="Times New Roman" w:cs="Times New Roman"/>
                <w:b/>
                <w:sz w:val="22"/>
              </w:rPr>
              <w:t xml:space="preserve"> </w:t>
            </w:r>
            <w:r w:rsidRPr="00681EEF">
              <w:rPr>
                <w:rFonts w:ascii="Times New Roman" w:hAnsi="Times New Roman" w:cs="Times New Roman"/>
                <w:sz w:val="22"/>
              </w:rPr>
              <w:t>Dos o más Partidos Políticos, sin mediar Coalición, pueden postular al mismo candidato, lista o fórmula, debiendo cumplir con lo siguiente:</w:t>
            </w:r>
          </w:p>
          <w:p w14:paraId="4DA190FF" w14:textId="77777777" w:rsidR="00837807" w:rsidRPr="00681EEF" w:rsidRDefault="00837807" w:rsidP="00837807">
            <w:pPr>
              <w:jc w:val="both"/>
              <w:rPr>
                <w:rFonts w:hAnsi="Times New Roman" w:cs="Times New Roman"/>
                <w:b/>
              </w:rPr>
            </w:pPr>
            <w:r w:rsidRPr="00681EEF">
              <w:rPr>
                <w:rFonts w:hAnsi="Times New Roman" w:cs="Times New Roman"/>
                <w:b/>
              </w:rPr>
              <w:t xml:space="preserve">Fracciones I, </w:t>
            </w:r>
            <w:proofErr w:type="gramStart"/>
            <w:r w:rsidRPr="00681EEF">
              <w:rPr>
                <w:rFonts w:hAnsi="Times New Roman" w:cs="Times New Roman"/>
                <w:b/>
              </w:rPr>
              <w:t>II  del</w:t>
            </w:r>
            <w:proofErr w:type="gramEnd"/>
            <w:r w:rsidRPr="00681EEF">
              <w:rPr>
                <w:rFonts w:hAnsi="Times New Roman" w:cs="Times New Roman"/>
                <w:b/>
              </w:rPr>
              <w:t xml:space="preserve"> mismo artículo.</w:t>
            </w:r>
          </w:p>
          <w:p w14:paraId="4A447707" w14:textId="77777777" w:rsidR="00837807" w:rsidRPr="00681EEF" w:rsidRDefault="00837807" w:rsidP="00837807">
            <w:pPr>
              <w:jc w:val="both"/>
              <w:rPr>
                <w:rFonts w:hAnsi="Times New Roman" w:cs="Times New Roman"/>
                <w:b/>
              </w:rPr>
            </w:pPr>
          </w:p>
          <w:p w14:paraId="3F973311" w14:textId="77777777" w:rsidR="00837807" w:rsidRPr="00681EEF" w:rsidRDefault="00837807" w:rsidP="00837807">
            <w:pPr>
              <w:jc w:val="both"/>
              <w:rPr>
                <w:rFonts w:hAnsi="Times New Roman" w:cs="Times New Roman"/>
              </w:rPr>
            </w:pPr>
            <w:r w:rsidRPr="00681EEF">
              <w:rPr>
                <w:rFonts w:hAnsi="Times New Roman" w:cs="Times New Roman"/>
                <w:b/>
              </w:rPr>
              <w:t>Artículos 50, 94, fracción X, 273, inciso ñ.</w:t>
            </w:r>
          </w:p>
        </w:tc>
      </w:tr>
      <w:tr w:rsidR="00837807" w:rsidRPr="00681EEF" w14:paraId="13C00F46" w14:textId="77777777" w:rsidTr="00837807">
        <w:tc>
          <w:tcPr>
            <w:tcW w:w="1170" w:type="dxa"/>
          </w:tcPr>
          <w:p w14:paraId="522ABB04" w14:textId="77777777" w:rsidR="00837807" w:rsidRPr="00681EEF" w:rsidRDefault="00837807" w:rsidP="00837807">
            <w:pPr>
              <w:jc w:val="both"/>
              <w:rPr>
                <w:rFonts w:hAnsi="Times New Roman" w:cs="Times New Roman"/>
              </w:rPr>
            </w:pPr>
            <w:r w:rsidRPr="00681EEF">
              <w:rPr>
                <w:rFonts w:hAnsi="Times New Roman" w:cs="Times New Roman"/>
              </w:rPr>
              <w:t>8</w:t>
            </w:r>
          </w:p>
        </w:tc>
        <w:tc>
          <w:tcPr>
            <w:tcW w:w="1548" w:type="dxa"/>
          </w:tcPr>
          <w:p w14:paraId="4C55625E" w14:textId="77777777" w:rsidR="00837807" w:rsidRPr="00681EEF" w:rsidRDefault="00837807" w:rsidP="00837807">
            <w:pPr>
              <w:jc w:val="both"/>
              <w:rPr>
                <w:rFonts w:hAnsi="Times New Roman" w:cs="Times New Roman"/>
              </w:rPr>
            </w:pPr>
            <w:r w:rsidRPr="00681EEF">
              <w:rPr>
                <w:rFonts w:hAnsi="Times New Roman" w:cs="Times New Roman"/>
              </w:rPr>
              <w:t>Coahuila</w:t>
            </w:r>
          </w:p>
        </w:tc>
        <w:tc>
          <w:tcPr>
            <w:tcW w:w="1388" w:type="dxa"/>
          </w:tcPr>
          <w:p w14:paraId="02AB88CB" w14:textId="77777777" w:rsidR="00837807" w:rsidRPr="00681EEF" w:rsidRDefault="00837807" w:rsidP="00837807">
            <w:pPr>
              <w:jc w:val="both"/>
              <w:rPr>
                <w:rFonts w:hAnsi="Times New Roman" w:cs="Times New Roman"/>
              </w:rPr>
            </w:pPr>
            <w:r w:rsidRPr="00681EEF">
              <w:rPr>
                <w:rFonts w:hAnsi="Times New Roman" w:cs="Times New Roman"/>
              </w:rPr>
              <w:t>Código Electoral para el Estado de Coahuila de Zaragoza|</w:t>
            </w:r>
          </w:p>
        </w:tc>
        <w:tc>
          <w:tcPr>
            <w:tcW w:w="4961" w:type="dxa"/>
          </w:tcPr>
          <w:p w14:paraId="09AB82A8" w14:textId="77777777" w:rsidR="00837807" w:rsidRPr="00681EEF" w:rsidRDefault="00837807" w:rsidP="00837807">
            <w:pPr>
              <w:jc w:val="both"/>
              <w:rPr>
                <w:rFonts w:hAnsi="Times New Roman" w:cs="Times New Roman"/>
              </w:rPr>
            </w:pPr>
            <w:r w:rsidRPr="00681EEF">
              <w:rPr>
                <w:rFonts w:hAnsi="Times New Roman" w:cs="Times New Roman"/>
              </w:rPr>
              <w:t>No lo contempla.</w:t>
            </w:r>
          </w:p>
        </w:tc>
      </w:tr>
      <w:tr w:rsidR="00837807" w:rsidRPr="00681EEF" w14:paraId="01E8A9B5" w14:textId="77777777" w:rsidTr="00837807">
        <w:tc>
          <w:tcPr>
            <w:tcW w:w="1170" w:type="dxa"/>
          </w:tcPr>
          <w:p w14:paraId="4A16A94A" w14:textId="77777777" w:rsidR="00837807" w:rsidRPr="00681EEF" w:rsidRDefault="00837807" w:rsidP="00837807">
            <w:pPr>
              <w:jc w:val="both"/>
              <w:rPr>
                <w:rFonts w:hAnsi="Times New Roman" w:cs="Times New Roman"/>
              </w:rPr>
            </w:pPr>
            <w:r w:rsidRPr="00681EEF">
              <w:rPr>
                <w:rFonts w:hAnsi="Times New Roman" w:cs="Times New Roman"/>
              </w:rPr>
              <w:t>9</w:t>
            </w:r>
          </w:p>
        </w:tc>
        <w:tc>
          <w:tcPr>
            <w:tcW w:w="1548" w:type="dxa"/>
          </w:tcPr>
          <w:p w14:paraId="626967AA" w14:textId="77777777" w:rsidR="00837807" w:rsidRPr="00681EEF" w:rsidRDefault="00837807" w:rsidP="00837807">
            <w:pPr>
              <w:jc w:val="both"/>
              <w:rPr>
                <w:rFonts w:hAnsi="Times New Roman" w:cs="Times New Roman"/>
              </w:rPr>
            </w:pPr>
            <w:r w:rsidRPr="00681EEF">
              <w:rPr>
                <w:rFonts w:hAnsi="Times New Roman" w:cs="Times New Roman"/>
              </w:rPr>
              <w:t>Colima</w:t>
            </w:r>
          </w:p>
        </w:tc>
        <w:tc>
          <w:tcPr>
            <w:tcW w:w="1388" w:type="dxa"/>
          </w:tcPr>
          <w:p w14:paraId="00BADCF2" w14:textId="77777777" w:rsidR="00837807" w:rsidRPr="00681EEF" w:rsidRDefault="00837807" w:rsidP="00837807">
            <w:pPr>
              <w:jc w:val="both"/>
              <w:rPr>
                <w:rFonts w:hAnsi="Times New Roman" w:cs="Times New Roman"/>
              </w:rPr>
            </w:pPr>
            <w:r w:rsidRPr="00681EEF">
              <w:rPr>
                <w:rFonts w:hAnsi="Times New Roman" w:cs="Times New Roman"/>
              </w:rPr>
              <w:t>Código Electoral del Estado de Colima</w:t>
            </w:r>
          </w:p>
        </w:tc>
        <w:tc>
          <w:tcPr>
            <w:tcW w:w="4961" w:type="dxa"/>
          </w:tcPr>
          <w:p w14:paraId="1BBAF0E1" w14:textId="77777777" w:rsidR="00837807" w:rsidRPr="00681EEF" w:rsidRDefault="00837807" w:rsidP="00837807">
            <w:pPr>
              <w:jc w:val="center"/>
              <w:rPr>
                <w:rFonts w:hAnsi="Times New Roman" w:cs="Times New Roman"/>
                <w:b/>
              </w:rPr>
            </w:pPr>
            <w:r w:rsidRPr="00681EEF">
              <w:rPr>
                <w:rFonts w:hAnsi="Times New Roman" w:cs="Times New Roman"/>
                <w:b/>
              </w:rPr>
              <w:t>CAPÍTULO IX</w:t>
            </w:r>
          </w:p>
          <w:p w14:paraId="6DB7ADB8" w14:textId="77777777" w:rsidR="00837807" w:rsidRPr="00681EEF" w:rsidRDefault="00837807" w:rsidP="00837807">
            <w:pPr>
              <w:jc w:val="center"/>
              <w:rPr>
                <w:rFonts w:hAnsi="Times New Roman" w:cs="Times New Roman"/>
                <w:b/>
                <w:u w:val="single"/>
              </w:rPr>
            </w:pPr>
            <w:r w:rsidRPr="00681EEF">
              <w:rPr>
                <w:rFonts w:hAnsi="Times New Roman" w:cs="Times New Roman"/>
                <w:b/>
              </w:rPr>
              <w:t>DE LAS CANDIDATURAS COMUNES</w:t>
            </w:r>
          </w:p>
          <w:p w14:paraId="3A906A36" w14:textId="77777777" w:rsidR="00837807" w:rsidRPr="00681EEF" w:rsidRDefault="00837807" w:rsidP="00837807">
            <w:pPr>
              <w:jc w:val="both"/>
              <w:rPr>
                <w:rFonts w:hAnsi="Times New Roman" w:cs="Times New Roman"/>
                <w:b/>
                <w:u w:val="single"/>
              </w:rPr>
            </w:pPr>
            <w:r w:rsidRPr="00681EEF">
              <w:rPr>
                <w:rFonts w:hAnsi="Times New Roman" w:cs="Times New Roman"/>
                <w:b/>
                <w:u w:val="single"/>
              </w:rPr>
              <w:t>ARTÍCULO 72.- La candidatura común</w:t>
            </w:r>
            <w:r w:rsidRPr="00681EEF">
              <w:rPr>
                <w:rFonts w:hAnsi="Times New Roman" w:cs="Times New Roman"/>
              </w:rPr>
              <w:t xml:space="preserve"> es la unión de dos o más PARTIDOS POLÍTICOS, sin mediar coalición, para postular al mismo candidato, fórmulas o planillas, cumpliendo los requisitos de este CÓDIGO.</w:t>
            </w:r>
          </w:p>
          <w:p w14:paraId="51476D50" w14:textId="77777777" w:rsidR="00837807" w:rsidRPr="00681EEF" w:rsidRDefault="00837807" w:rsidP="00837807">
            <w:pPr>
              <w:jc w:val="both"/>
              <w:rPr>
                <w:rFonts w:hAnsi="Times New Roman" w:cs="Times New Roman"/>
                <w:b/>
                <w:u w:val="single"/>
              </w:rPr>
            </w:pPr>
          </w:p>
          <w:p w14:paraId="3C396BC8" w14:textId="77777777" w:rsidR="00837807" w:rsidRPr="00681EEF" w:rsidRDefault="00837807" w:rsidP="00837807">
            <w:pPr>
              <w:jc w:val="both"/>
              <w:rPr>
                <w:rFonts w:hAnsi="Times New Roman" w:cs="Times New Roman"/>
                <w:b/>
              </w:rPr>
            </w:pPr>
            <w:r w:rsidRPr="00681EEF">
              <w:rPr>
                <w:rFonts w:hAnsi="Times New Roman" w:cs="Times New Roman"/>
                <w:b/>
              </w:rPr>
              <w:t xml:space="preserve">Artículos 73, 74, 75, 76, 77, 78, 79 y 80. </w:t>
            </w:r>
          </w:p>
        </w:tc>
      </w:tr>
      <w:tr w:rsidR="00837807" w:rsidRPr="00681EEF" w14:paraId="6877D87D" w14:textId="77777777" w:rsidTr="00837807">
        <w:tc>
          <w:tcPr>
            <w:tcW w:w="1170" w:type="dxa"/>
          </w:tcPr>
          <w:p w14:paraId="55C33442" w14:textId="77777777" w:rsidR="00837807" w:rsidRPr="00681EEF" w:rsidRDefault="00837807" w:rsidP="00837807">
            <w:pPr>
              <w:jc w:val="both"/>
              <w:rPr>
                <w:rFonts w:hAnsi="Times New Roman" w:cs="Times New Roman"/>
              </w:rPr>
            </w:pPr>
            <w:r w:rsidRPr="00681EEF">
              <w:rPr>
                <w:rFonts w:hAnsi="Times New Roman" w:cs="Times New Roman"/>
              </w:rPr>
              <w:t>10</w:t>
            </w:r>
          </w:p>
        </w:tc>
        <w:tc>
          <w:tcPr>
            <w:tcW w:w="1548" w:type="dxa"/>
          </w:tcPr>
          <w:p w14:paraId="3CB8A7F6" w14:textId="77777777" w:rsidR="00837807" w:rsidRPr="00681EEF" w:rsidRDefault="00837807" w:rsidP="00837807">
            <w:pPr>
              <w:jc w:val="both"/>
              <w:rPr>
                <w:rFonts w:hAnsi="Times New Roman" w:cs="Times New Roman"/>
              </w:rPr>
            </w:pPr>
            <w:r w:rsidRPr="00681EEF">
              <w:rPr>
                <w:rFonts w:hAnsi="Times New Roman" w:cs="Times New Roman"/>
              </w:rPr>
              <w:t>Durango</w:t>
            </w:r>
          </w:p>
        </w:tc>
        <w:tc>
          <w:tcPr>
            <w:tcW w:w="1388" w:type="dxa"/>
          </w:tcPr>
          <w:p w14:paraId="13106D00" w14:textId="77777777" w:rsidR="00837807" w:rsidRPr="00681EEF" w:rsidRDefault="00837807" w:rsidP="00837807">
            <w:pPr>
              <w:jc w:val="both"/>
              <w:rPr>
                <w:rFonts w:hAnsi="Times New Roman" w:cs="Times New Roman"/>
              </w:rPr>
            </w:pPr>
            <w:r w:rsidRPr="00681EEF">
              <w:rPr>
                <w:rFonts w:hAnsi="Times New Roman" w:cs="Times New Roman"/>
              </w:rPr>
              <w:t>Ley de Instituciones y Procedimientos Electorales para el Estado de Durango</w:t>
            </w:r>
          </w:p>
        </w:tc>
        <w:tc>
          <w:tcPr>
            <w:tcW w:w="4961" w:type="dxa"/>
          </w:tcPr>
          <w:p w14:paraId="78324A4D" w14:textId="77777777" w:rsidR="00837807" w:rsidRPr="00681EEF" w:rsidRDefault="00837807" w:rsidP="00837807">
            <w:pPr>
              <w:jc w:val="both"/>
              <w:rPr>
                <w:rFonts w:hAnsi="Times New Roman" w:cs="Times New Roman"/>
              </w:rPr>
            </w:pPr>
            <w:r w:rsidRPr="00681EEF">
              <w:rPr>
                <w:rFonts w:hAnsi="Times New Roman" w:cs="Times New Roman"/>
                <w:b/>
              </w:rPr>
              <w:t xml:space="preserve">ARTÍCULO 32 </w:t>
            </w:r>
            <w:proofErr w:type="gramStart"/>
            <w:r w:rsidRPr="00681EEF">
              <w:rPr>
                <w:rFonts w:hAnsi="Times New Roman" w:cs="Times New Roman"/>
                <w:b/>
              </w:rPr>
              <w:t>BIS.-</w:t>
            </w:r>
            <w:proofErr w:type="gramEnd"/>
            <w:r w:rsidRPr="00681EEF">
              <w:rPr>
                <w:rFonts w:hAnsi="Times New Roman" w:cs="Times New Roman"/>
                <w:b/>
              </w:rPr>
              <w:t xml:space="preserve"> 1</w:t>
            </w:r>
            <w:r w:rsidRPr="00681EEF">
              <w:rPr>
                <w:rFonts w:hAnsi="Times New Roman" w:cs="Times New Roman"/>
              </w:rPr>
              <w:t xml:space="preserve">. Los partidos políticos, tendrán derecho a postular </w:t>
            </w:r>
            <w:r w:rsidRPr="00681EEF">
              <w:rPr>
                <w:rFonts w:hAnsi="Times New Roman" w:cs="Times New Roman"/>
                <w:b/>
                <w:u w:val="single"/>
              </w:rPr>
              <w:t>candidaturas comunes</w:t>
            </w:r>
            <w:r w:rsidRPr="00681EEF">
              <w:rPr>
                <w:rFonts w:hAnsi="Times New Roman" w:cs="Times New Roman"/>
              </w:rPr>
              <w:t xml:space="preserve"> para la elección de Gobernador, diputados de mayoría y planillas de ayuntamientos. Los partidos políticos que postulen candidato común deberán suscribir un convenio firmado por sus representantes y dirigentes, el que deberán presentar para su registro ante el Consejo General, hasta cinco días antes del inicio del periodo de registro de candidatos de la elección de que se trate.</w:t>
            </w:r>
          </w:p>
          <w:p w14:paraId="3C5959BE" w14:textId="77777777" w:rsidR="00837807" w:rsidRPr="00681EEF" w:rsidRDefault="00837807" w:rsidP="00837807">
            <w:pPr>
              <w:jc w:val="both"/>
              <w:rPr>
                <w:rFonts w:hAnsi="Times New Roman" w:cs="Times New Roman"/>
              </w:rPr>
            </w:pPr>
          </w:p>
          <w:p w14:paraId="4AD4ABE9" w14:textId="77777777" w:rsidR="00837807" w:rsidRPr="00681EEF" w:rsidRDefault="00837807" w:rsidP="00837807">
            <w:pPr>
              <w:jc w:val="both"/>
              <w:rPr>
                <w:rFonts w:hAnsi="Times New Roman" w:cs="Times New Roman"/>
                <w:b/>
              </w:rPr>
            </w:pPr>
            <w:r w:rsidRPr="00681EEF">
              <w:rPr>
                <w:rFonts w:hAnsi="Times New Roman" w:cs="Times New Roman"/>
                <w:b/>
              </w:rPr>
              <w:t xml:space="preserve">Numerales 2 y 3 del mismo artículo. </w:t>
            </w:r>
          </w:p>
          <w:p w14:paraId="5BD3D3F9" w14:textId="77777777" w:rsidR="00837807" w:rsidRPr="00681EEF" w:rsidRDefault="00837807" w:rsidP="00837807">
            <w:pPr>
              <w:jc w:val="both"/>
              <w:rPr>
                <w:rFonts w:hAnsi="Times New Roman" w:cs="Times New Roman"/>
              </w:rPr>
            </w:pPr>
            <w:r w:rsidRPr="00681EEF">
              <w:rPr>
                <w:rFonts w:hAnsi="Times New Roman" w:cs="Times New Roman"/>
                <w:b/>
              </w:rPr>
              <w:t xml:space="preserve">Artículos 32 Ter, 32 </w:t>
            </w:r>
            <w:proofErr w:type="spellStart"/>
            <w:r w:rsidRPr="00681EEF">
              <w:rPr>
                <w:rFonts w:hAnsi="Times New Roman" w:cs="Times New Roman"/>
                <w:b/>
              </w:rPr>
              <w:t>Quáter</w:t>
            </w:r>
            <w:proofErr w:type="spellEnd"/>
            <w:r w:rsidRPr="00681EEF">
              <w:rPr>
                <w:rFonts w:hAnsi="Times New Roman" w:cs="Times New Roman"/>
                <w:b/>
              </w:rPr>
              <w:t>.</w:t>
            </w:r>
          </w:p>
        </w:tc>
      </w:tr>
      <w:tr w:rsidR="00837807" w:rsidRPr="00681EEF" w14:paraId="5D3BA542" w14:textId="77777777" w:rsidTr="00837807">
        <w:tc>
          <w:tcPr>
            <w:tcW w:w="1170" w:type="dxa"/>
          </w:tcPr>
          <w:p w14:paraId="58B915DD" w14:textId="77777777" w:rsidR="00837807" w:rsidRPr="00681EEF" w:rsidRDefault="00837807" w:rsidP="00837807">
            <w:pPr>
              <w:jc w:val="both"/>
              <w:rPr>
                <w:rFonts w:hAnsi="Times New Roman" w:cs="Times New Roman"/>
              </w:rPr>
            </w:pPr>
            <w:r w:rsidRPr="00681EEF">
              <w:rPr>
                <w:rFonts w:hAnsi="Times New Roman" w:cs="Times New Roman"/>
              </w:rPr>
              <w:t>11</w:t>
            </w:r>
          </w:p>
        </w:tc>
        <w:tc>
          <w:tcPr>
            <w:tcW w:w="1548" w:type="dxa"/>
          </w:tcPr>
          <w:p w14:paraId="4F88B30C" w14:textId="77777777" w:rsidR="00837807" w:rsidRPr="00681EEF" w:rsidRDefault="00837807" w:rsidP="00837807">
            <w:pPr>
              <w:jc w:val="both"/>
              <w:rPr>
                <w:rFonts w:hAnsi="Times New Roman" w:cs="Times New Roman"/>
              </w:rPr>
            </w:pPr>
            <w:r w:rsidRPr="00681EEF">
              <w:rPr>
                <w:rFonts w:hAnsi="Times New Roman" w:cs="Times New Roman"/>
              </w:rPr>
              <w:t>Estado de México</w:t>
            </w:r>
          </w:p>
        </w:tc>
        <w:tc>
          <w:tcPr>
            <w:tcW w:w="1388" w:type="dxa"/>
          </w:tcPr>
          <w:p w14:paraId="4A49C58D" w14:textId="77777777" w:rsidR="00837807" w:rsidRPr="00681EEF" w:rsidRDefault="00837807" w:rsidP="00837807">
            <w:pPr>
              <w:jc w:val="both"/>
              <w:rPr>
                <w:rFonts w:hAnsi="Times New Roman" w:cs="Times New Roman"/>
              </w:rPr>
            </w:pPr>
            <w:r w:rsidRPr="00681EEF">
              <w:rPr>
                <w:rFonts w:hAnsi="Times New Roman" w:cs="Times New Roman"/>
              </w:rPr>
              <w:t>Código Electoral del Estado de México</w:t>
            </w:r>
          </w:p>
        </w:tc>
        <w:tc>
          <w:tcPr>
            <w:tcW w:w="4961" w:type="dxa"/>
          </w:tcPr>
          <w:p w14:paraId="0B2C852C" w14:textId="77777777" w:rsidR="00837807" w:rsidRPr="00681EEF" w:rsidRDefault="00837807" w:rsidP="00837807">
            <w:pPr>
              <w:jc w:val="both"/>
              <w:rPr>
                <w:rFonts w:hAnsi="Times New Roman" w:cs="Times New Roman"/>
              </w:rPr>
            </w:pPr>
            <w:r w:rsidRPr="00681EEF">
              <w:rPr>
                <w:rFonts w:hAnsi="Times New Roman" w:cs="Times New Roman"/>
                <w:b/>
              </w:rPr>
              <w:t>Artículo 74.</w:t>
            </w:r>
            <w:r w:rsidRPr="00681EEF">
              <w:rPr>
                <w:rFonts w:hAnsi="Times New Roman" w:cs="Times New Roman"/>
              </w:rPr>
              <w:t xml:space="preserve"> En los procesos electorales, los partidos tendrán derecho a postular candidatos, fórmulas o planillas por sí mismos, en coalición o en </w:t>
            </w:r>
            <w:r w:rsidRPr="00681EEF">
              <w:rPr>
                <w:rFonts w:hAnsi="Times New Roman" w:cs="Times New Roman"/>
                <w:b/>
                <w:u w:val="single"/>
              </w:rPr>
              <w:t xml:space="preserve">candidatura </w:t>
            </w:r>
            <w:r w:rsidRPr="00681EEF">
              <w:rPr>
                <w:rFonts w:hAnsi="Times New Roman" w:cs="Times New Roman"/>
                <w:b/>
                <w:u w:val="single"/>
              </w:rPr>
              <w:lastRenderedPageBreak/>
              <w:t>común</w:t>
            </w:r>
            <w:r w:rsidRPr="00681EEF">
              <w:rPr>
                <w:rFonts w:hAnsi="Times New Roman" w:cs="Times New Roman"/>
              </w:rPr>
              <w:t xml:space="preserve"> con otros partidos en los términos establecidos en la Ley General de Partidos Políticos y este Código.</w:t>
            </w:r>
          </w:p>
          <w:p w14:paraId="2DD8477F" w14:textId="089AF63E" w:rsidR="00837807" w:rsidRPr="00681EEF" w:rsidRDefault="00837807" w:rsidP="00837807">
            <w:pPr>
              <w:jc w:val="both"/>
              <w:rPr>
                <w:rFonts w:hAnsi="Times New Roman" w:cs="Times New Roman"/>
                <w:b/>
              </w:rPr>
            </w:pPr>
          </w:p>
        </w:tc>
      </w:tr>
      <w:tr w:rsidR="00837807" w:rsidRPr="00681EEF" w14:paraId="6B69C516" w14:textId="77777777" w:rsidTr="00837807">
        <w:tc>
          <w:tcPr>
            <w:tcW w:w="1170" w:type="dxa"/>
          </w:tcPr>
          <w:p w14:paraId="543FB1D0" w14:textId="77777777" w:rsidR="00837807" w:rsidRPr="00681EEF" w:rsidRDefault="00837807" w:rsidP="00837807">
            <w:pPr>
              <w:jc w:val="both"/>
              <w:rPr>
                <w:rFonts w:hAnsi="Times New Roman" w:cs="Times New Roman"/>
              </w:rPr>
            </w:pPr>
            <w:r w:rsidRPr="00681EEF">
              <w:rPr>
                <w:rFonts w:hAnsi="Times New Roman" w:cs="Times New Roman"/>
              </w:rPr>
              <w:lastRenderedPageBreak/>
              <w:t>12</w:t>
            </w:r>
          </w:p>
        </w:tc>
        <w:tc>
          <w:tcPr>
            <w:tcW w:w="1548" w:type="dxa"/>
          </w:tcPr>
          <w:p w14:paraId="2A95546D" w14:textId="77777777" w:rsidR="00837807" w:rsidRPr="00681EEF" w:rsidRDefault="00837807" w:rsidP="00837807">
            <w:pPr>
              <w:jc w:val="both"/>
              <w:rPr>
                <w:rFonts w:hAnsi="Times New Roman" w:cs="Times New Roman"/>
              </w:rPr>
            </w:pPr>
            <w:r w:rsidRPr="00681EEF">
              <w:rPr>
                <w:rFonts w:hAnsi="Times New Roman" w:cs="Times New Roman"/>
              </w:rPr>
              <w:t>Guanajuato</w:t>
            </w:r>
          </w:p>
        </w:tc>
        <w:tc>
          <w:tcPr>
            <w:tcW w:w="1388" w:type="dxa"/>
          </w:tcPr>
          <w:p w14:paraId="3DD4A799" w14:textId="77777777" w:rsidR="00837807" w:rsidRPr="00681EEF" w:rsidRDefault="00837807" w:rsidP="00837807">
            <w:pPr>
              <w:jc w:val="both"/>
              <w:rPr>
                <w:rFonts w:hAnsi="Times New Roman" w:cs="Times New Roman"/>
              </w:rPr>
            </w:pPr>
            <w:r w:rsidRPr="00681EEF">
              <w:rPr>
                <w:rFonts w:hAnsi="Times New Roman" w:cs="Times New Roman"/>
              </w:rPr>
              <w:t>Ley de Instituciones y Procedimientos Electorales para el Estado de Guanajuato</w:t>
            </w:r>
          </w:p>
        </w:tc>
        <w:tc>
          <w:tcPr>
            <w:tcW w:w="4961" w:type="dxa"/>
          </w:tcPr>
          <w:p w14:paraId="222E75CC" w14:textId="77777777" w:rsidR="00837807" w:rsidRPr="00681EEF" w:rsidRDefault="00837807" w:rsidP="00837807">
            <w:pPr>
              <w:jc w:val="both"/>
              <w:rPr>
                <w:rFonts w:hAnsi="Times New Roman" w:cs="Times New Roman"/>
              </w:rPr>
            </w:pPr>
            <w:r w:rsidRPr="00681EEF">
              <w:rPr>
                <w:rFonts w:hAnsi="Times New Roman" w:cs="Times New Roman"/>
              </w:rPr>
              <w:t>No lo contempla.</w:t>
            </w:r>
          </w:p>
        </w:tc>
      </w:tr>
      <w:tr w:rsidR="00837807" w:rsidRPr="00681EEF" w14:paraId="21CC87A3" w14:textId="77777777" w:rsidTr="00837807">
        <w:tc>
          <w:tcPr>
            <w:tcW w:w="1170" w:type="dxa"/>
          </w:tcPr>
          <w:p w14:paraId="53BABCC0" w14:textId="77777777" w:rsidR="00837807" w:rsidRPr="00681EEF" w:rsidRDefault="00837807" w:rsidP="00837807">
            <w:pPr>
              <w:jc w:val="both"/>
              <w:rPr>
                <w:rFonts w:hAnsi="Times New Roman" w:cs="Times New Roman"/>
              </w:rPr>
            </w:pPr>
            <w:r w:rsidRPr="00681EEF">
              <w:rPr>
                <w:rFonts w:hAnsi="Times New Roman" w:cs="Times New Roman"/>
              </w:rPr>
              <w:t>13</w:t>
            </w:r>
          </w:p>
        </w:tc>
        <w:tc>
          <w:tcPr>
            <w:tcW w:w="1548" w:type="dxa"/>
          </w:tcPr>
          <w:p w14:paraId="3DE7F0FC" w14:textId="77777777" w:rsidR="00837807" w:rsidRPr="00681EEF" w:rsidRDefault="00837807" w:rsidP="00837807">
            <w:pPr>
              <w:jc w:val="both"/>
              <w:rPr>
                <w:rFonts w:hAnsi="Times New Roman" w:cs="Times New Roman"/>
              </w:rPr>
            </w:pPr>
            <w:r w:rsidRPr="00681EEF">
              <w:rPr>
                <w:rFonts w:hAnsi="Times New Roman" w:cs="Times New Roman"/>
              </w:rPr>
              <w:t>Guerrero</w:t>
            </w:r>
          </w:p>
        </w:tc>
        <w:tc>
          <w:tcPr>
            <w:tcW w:w="1388" w:type="dxa"/>
          </w:tcPr>
          <w:p w14:paraId="0614C838" w14:textId="77777777" w:rsidR="00837807" w:rsidRPr="00681EEF" w:rsidRDefault="00837807" w:rsidP="00837807">
            <w:pPr>
              <w:jc w:val="both"/>
              <w:rPr>
                <w:rFonts w:hAnsi="Times New Roman" w:cs="Times New Roman"/>
              </w:rPr>
            </w:pPr>
            <w:r w:rsidRPr="00681EEF">
              <w:rPr>
                <w:rFonts w:hAnsi="Times New Roman" w:cs="Times New Roman"/>
              </w:rPr>
              <w:t>Ley número 483 de Instituciones y Procedimientos Electorales del Estado de Guerrero</w:t>
            </w:r>
          </w:p>
        </w:tc>
        <w:tc>
          <w:tcPr>
            <w:tcW w:w="4961" w:type="dxa"/>
          </w:tcPr>
          <w:p w14:paraId="7E2CC51C" w14:textId="77777777" w:rsidR="00837807" w:rsidRPr="00681EEF" w:rsidRDefault="00837807" w:rsidP="00837807">
            <w:pPr>
              <w:jc w:val="both"/>
              <w:rPr>
                <w:rFonts w:hAnsi="Times New Roman" w:cs="Times New Roman"/>
              </w:rPr>
            </w:pPr>
            <w:r w:rsidRPr="00681EEF">
              <w:rPr>
                <w:rFonts w:hAnsi="Times New Roman" w:cs="Times New Roman"/>
                <w:b/>
              </w:rPr>
              <w:t>Artículo 165.</w:t>
            </w:r>
            <w:r w:rsidRPr="00681EEF">
              <w:rPr>
                <w:rFonts w:hAnsi="Times New Roman" w:cs="Times New Roman"/>
              </w:rPr>
              <w:t xml:space="preserve">- </w:t>
            </w:r>
            <w:r w:rsidRPr="00681EEF">
              <w:rPr>
                <w:rFonts w:hAnsi="Times New Roman" w:cs="Times New Roman"/>
                <w:b/>
                <w:u w:val="single"/>
              </w:rPr>
              <w:t>La candidatura común</w:t>
            </w:r>
            <w:r w:rsidRPr="00681EEF">
              <w:rPr>
                <w:rFonts w:hAnsi="Times New Roman" w:cs="Times New Roman"/>
              </w:rPr>
              <w:t xml:space="preserve"> es la unión de dos o más partidos políticos, sin mediar coalición, para postular al mismo candidato, fórmulas o planillas, cumpliendo los requisitos de esta Ley.</w:t>
            </w:r>
          </w:p>
          <w:p w14:paraId="164CF7D6" w14:textId="0E18D665" w:rsidR="00837807" w:rsidRPr="00681EEF" w:rsidRDefault="00837807" w:rsidP="00837807">
            <w:pPr>
              <w:jc w:val="both"/>
              <w:rPr>
                <w:rFonts w:hAnsi="Times New Roman" w:cs="Times New Roman"/>
                <w:b/>
              </w:rPr>
            </w:pPr>
          </w:p>
        </w:tc>
      </w:tr>
      <w:tr w:rsidR="00837807" w:rsidRPr="00681EEF" w14:paraId="20CE934A" w14:textId="77777777" w:rsidTr="00837807">
        <w:tc>
          <w:tcPr>
            <w:tcW w:w="1170" w:type="dxa"/>
          </w:tcPr>
          <w:p w14:paraId="3E7C4936" w14:textId="77777777" w:rsidR="00837807" w:rsidRPr="00681EEF" w:rsidRDefault="00837807" w:rsidP="00837807">
            <w:pPr>
              <w:jc w:val="both"/>
              <w:rPr>
                <w:rFonts w:hAnsi="Times New Roman" w:cs="Times New Roman"/>
              </w:rPr>
            </w:pPr>
            <w:r w:rsidRPr="00681EEF">
              <w:rPr>
                <w:rFonts w:hAnsi="Times New Roman" w:cs="Times New Roman"/>
              </w:rPr>
              <w:t>14</w:t>
            </w:r>
          </w:p>
        </w:tc>
        <w:tc>
          <w:tcPr>
            <w:tcW w:w="1548" w:type="dxa"/>
          </w:tcPr>
          <w:p w14:paraId="41118405" w14:textId="77777777" w:rsidR="00837807" w:rsidRPr="00681EEF" w:rsidRDefault="00837807" w:rsidP="00837807">
            <w:pPr>
              <w:jc w:val="both"/>
              <w:rPr>
                <w:rFonts w:hAnsi="Times New Roman" w:cs="Times New Roman"/>
              </w:rPr>
            </w:pPr>
            <w:r w:rsidRPr="00681EEF">
              <w:rPr>
                <w:rFonts w:hAnsi="Times New Roman" w:cs="Times New Roman"/>
              </w:rPr>
              <w:t>Hidalgo</w:t>
            </w:r>
          </w:p>
        </w:tc>
        <w:tc>
          <w:tcPr>
            <w:tcW w:w="1388" w:type="dxa"/>
          </w:tcPr>
          <w:p w14:paraId="580280C4" w14:textId="77777777" w:rsidR="00837807" w:rsidRPr="00681EEF" w:rsidRDefault="00837807" w:rsidP="00837807">
            <w:pPr>
              <w:jc w:val="both"/>
              <w:rPr>
                <w:rFonts w:hAnsi="Times New Roman" w:cs="Times New Roman"/>
              </w:rPr>
            </w:pPr>
            <w:r w:rsidRPr="00681EEF">
              <w:rPr>
                <w:rFonts w:hAnsi="Times New Roman" w:cs="Times New Roman"/>
              </w:rPr>
              <w:t>Código Electoral del Estado de Hidalgo</w:t>
            </w:r>
          </w:p>
        </w:tc>
        <w:tc>
          <w:tcPr>
            <w:tcW w:w="4961" w:type="dxa"/>
          </w:tcPr>
          <w:p w14:paraId="7312CDF2" w14:textId="77777777" w:rsidR="00837807" w:rsidRPr="00681EEF" w:rsidRDefault="00837807" w:rsidP="00837807">
            <w:pPr>
              <w:autoSpaceDE w:val="0"/>
              <w:autoSpaceDN w:val="0"/>
              <w:adjustRightInd w:val="0"/>
              <w:jc w:val="both"/>
              <w:rPr>
                <w:rFonts w:eastAsia="Arial" w:hAnsi="Times New Roman" w:cs="Times New Roman"/>
                <w:b/>
              </w:rPr>
            </w:pPr>
            <w:r w:rsidRPr="00681EEF">
              <w:rPr>
                <w:rFonts w:eastAsia="Arial" w:hAnsi="Times New Roman" w:cs="Times New Roman"/>
                <w:b/>
              </w:rPr>
              <w:t xml:space="preserve">Artículo 37. </w:t>
            </w:r>
            <w:r w:rsidRPr="00681EEF">
              <w:rPr>
                <w:rFonts w:eastAsia="Arial" w:hAnsi="Times New Roman" w:cs="Times New Roman"/>
              </w:rPr>
              <w:t xml:space="preserve">Los partidos políticos acreditados ante el Instituto Estatal Electoral podrán participar en los procesos electorales locales en tres modalidades, por sí mismos, a través de </w:t>
            </w:r>
            <w:r w:rsidRPr="00681EEF">
              <w:rPr>
                <w:rFonts w:eastAsia="Arial" w:hAnsi="Times New Roman" w:cs="Times New Roman"/>
                <w:b/>
                <w:u w:val="single"/>
              </w:rPr>
              <w:t>candidaturas comunes</w:t>
            </w:r>
            <w:r w:rsidRPr="00681EEF">
              <w:rPr>
                <w:rFonts w:eastAsia="Arial" w:hAnsi="Times New Roman" w:cs="Times New Roman"/>
              </w:rPr>
              <w:t xml:space="preserve"> o en coalición, y podrán postular candidatos, fórmulas o planillas para las elecciones de Gobernador, Diputados Locales y Ayuntamientos. Una vez que el Instituto Estatal Electoral otorgue el registro correspondiente de los candidatos, fórmulas o planillas, en ningún caso podrá modificarse la modalidad de postulación de que se trate.</w:t>
            </w:r>
          </w:p>
          <w:p w14:paraId="7181EF84" w14:textId="7DC4047B" w:rsidR="00837807" w:rsidRPr="00681EEF" w:rsidRDefault="00837807" w:rsidP="00837807">
            <w:pPr>
              <w:autoSpaceDE w:val="0"/>
              <w:autoSpaceDN w:val="0"/>
              <w:adjustRightInd w:val="0"/>
              <w:jc w:val="both"/>
              <w:rPr>
                <w:rFonts w:hAnsi="Times New Roman" w:cs="Times New Roman"/>
              </w:rPr>
            </w:pPr>
          </w:p>
        </w:tc>
      </w:tr>
      <w:tr w:rsidR="00837807" w:rsidRPr="00681EEF" w14:paraId="6F161677" w14:textId="77777777" w:rsidTr="00837807">
        <w:tc>
          <w:tcPr>
            <w:tcW w:w="1170" w:type="dxa"/>
          </w:tcPr>
          <w:p w14:paraId="2FF54CEF" w14:textId="77777777" w:rsidR="00837807" w:rsidRPr="00681EEF" w:rsidRDefault="00837807" w:rsidP="00837807">
            <w:pPr>
              <w:jc w:val="both"/>
              <w:rPr>
                <w:rFonts w:hAnsi="Times New Roman" w:cs="Times New Roman"/>
              </w:rPr>
            </w:pPr>
            <w:r w:rsidRPr="00681EEF">
              <w:rPr>
                <w:rFonts w:hAnsi="Times New Roman" w:cs="Times New Roman"/>
              </w:rPr>
              <w:t>15</w:t>
            </w:r>
          </w:p>
        </w:tc>
        <w:tc>
          <w:tcPr>
            <w:tcW w:w="1548" w:type="dxa"/>
          </w:tcPr>
          <w:p w14:paraId="70953880" w14:textId="77777777" w:rsidR="00837807" w:rsidRPr="00681EEF" w:rsidRDefault="00837807" w:rsidP="00837807">
            <w:pPr>
              <w:jc w:val="both"/>
              <w:rPr>
                <w:rFonts w:hAnsi="Times New Roman" w:cs="Times New Roman"/>
              </w:rPr>
            </w:pPr>
            <w:r w:rsidRPr="00681EEF">
              <w:rPr>
                <w:rFonts w:hAnsi="Times New Roman" w:cs="Times New Roman"/>
              </w:rPr>
              <w:t>Jalisco</w:t>
            </w:r>
          </w:p>
        </w:tc>
        <w:tc>
          <w:tcPr>
            <w:tcW w:w="1388" w:type="dxa"/>
          </w:tcPr>
          <w:p w14:paraId="27A571E0" w14:textId="77777777" w:rsidR="00837807" w:rsidRPr="00681EEF" w:rsidRDefault="00837807" w:rsidP="00837807">
            <w:pPr>
              <w:jc w:val="both"/>
              <w:rPr>
                <w:rFonts w:hAnsi="Times New Roman" w:cs="Times New Roman"/>
              </w:rPr>
            </w:pPr>
            <w:r w:rsidRPr="00681EEF">
              <w:rPr>
                <w:rFonts w:hAnsi="Times New Roman" w:cs="Times New Roman"/>
              </w:rPr>
              <w:t>Código Electoral del Estado de Jalisco</w:t>
            </w:r>
          </w:p>
        </w:tc>
        <w:tc>
          <w:tcPr>
            <w:tcW w:w="4961" w:type="dxa"/>
          </w:tcPr>
          <w:p w14:paraId="110E5D18" w14:textId="77777777" w:rsidR="00837807" w:rsidRPr="00681EEF" w:rsidRDefault="00837807" w:rsidP="00837807">
            <w:pPr>
              <w:jc w:val="both"/>
              <w:rPr>
                <w:rFonts w:hAnsi="Times New Roman" w:cs="Times New Roman"/>
              </w:rPr>
            </w:pPr>
            <w:r w:rsidRPr="00681EEF">
              <w:rPr>
                <w:rFonts w:hAnsi="Times New Roman" w:cs="Times New Roman"/>
              </w:rPr>
              <w:t>No lo contempla.</w:t>
            </w:r>
          </w:p>
        </w:tc>
      </w:tr>
      <w:tr w:rsidR="00837807" w:rsidRPr="00681EEF" w14:paraId="032672A0" w14:textId="77777777" w:rsidTr="00837807">
        <w:tc>
          <w:tcPr>
            <w:tcW w:w="1170" w:type="dxa"/>
          </w:tcPr>
          <w:p w14:paraId="3D68CEA3" w14:textId="77777777" w:rsidR="00837807" w:rsidRPr="00681EEF" w:rsidRDefault="00837807" w:rsidP="00837807">
            <w:pPr>
              <w:jc w:val="both"/>
              <w:rPr>
                <w:rFonts w:hAnsi="Times New Roman" w:cs="Times New Roman"/>
              </w:rPr>
            </w:pPr>
            <w:r w:rsidRPr="00681EEF">
              <w:rPr>
                <w:rFonts w:hAnsi="Times New Roman" w:cs="Times New Roman"/>
              </w:rPr>
              <w:t>16</w:t>
            </w:r>
          </w:p>
        </w:tc>
        <w:tc>
          <w:tcPr>
            <w:tcW w:w="1548" w:type="dxa"/>
          </w:tcPr>
          <w:p w14:paraId="78CC2358" w14:textId="77777777" w:rsidR="00837807" w:rsidRPr="00681EEF" w:rsidRDefault="00837807" w:rsidP="00837807">
            <w:pPr>
              <w:jc w:val="both"/>
              <w:rPr>
                <w:rFonts w:hAnsi="Times New Roman" w:cs="Times New Roman"/>
              </w:rPr>
            </w:pPr>
            <w:r w:rsidRPr="00681EEF">
              <w:rPr>
                <w:rFonts w:hAnsi="Times New Roman" w:cs="Times New Roman"/>
              </w:rPr>
              <w:t>Michoacán</w:t>
            </w:r>
          </w:p>
        </w:tc>
        <w:tc>
          <w:tcPr>
            <w:tcW w:w="1388" w:type="dxa"/>
          </w:tcPr>
          <w:p w14:paraId="4A74E8E5" w14:textId="77777777" w:rsidR="00837807" w:rsidRPr="00681EEF" w:rsidRDefault="00837807" w:rsidP="00837807">
            <w:pPr>
              <w:jc w:val="both"/>
              <w:rPr>
                <w:rFonts w:hAnsi="Times New Roman" w:cs="Times New Roman"/>
              </w:rPr>
            </w:pPr>
            <w:r w:rsidRPr="00681EEF">
              <w:rPr>
                <w:rFonts w:hAnsi="Times New Roman" w:cs="Times New Roman"/>
              </w:rPr>
              <w:t>Código Electoral del Estado de Michoacán de Ocampo</w:t>
            </w:r>
          </w:p>
        </w:tc>
        <w:tc>
          <w:tcPr>
            <w:tcW w:w="4961" w:type="dxa"/>
          </w:tcPr>
          <w:p w14:paraId="021771D6" w14:textId="77777777" w:rsidR="00837807" w:rsidRPr="00681EEF" w:rsidRDefault="00837807" w:rsidP="00837807">
            <w:pPr>
              <w:jc w:val="center"/>
              <w:rPr>
                <w:rFonts w:hAnsi="Times New Roman" w:cs="Times New Roman"/>
                <w:b/>
              </w:rPr>
            </w:pPr>
            <w:r w:rsidRPr="00681EEF">
              <w:rPr>
                <w:rFonts w:hAnsi="Times New Roman" w:cs="Times New Roman"/>
                <w:b/>
              </w:rPr>
              <w:t>CAPÍTULO QUINTO</w:t>
            </w:r>
          </w:p>
          <w:p w14:paraId="5876CDA5" w14:textId="77777777" w:rsidR="00837807" w:rsidRPr="00681EEF" w:rsidRDefault="00837807" w:rsidP="00837807">
            <w:pPr>
              <w:jc w:val="center"/>
              <w:rPr>
                <w:rFonts w:hAnsi="Times New Roman" w:cs="Times New Roman"/>
                <w:b/>
              </w:rPr>
            </w:pPr>
            <w:r w:rsidRPr="00681EEF">
              <w:rPr>
                <w:rFonts w:hAnsi="Times New Roman" w:cs="Times New Roman"/>
                <w:b/>
              </w:rPr>
              <w:t>DE LAS CANDIDATURAS COMUNES</w:t>
            </w:r>
          </w:p>
          <w:p w14:paraId="60BC27E8" w14:textId="77777777" w:rsidR="00837807" w:rsidRPr="00681EEF" w:rsidRDefault="00837807" w:rsidP="00837807">
            <w:pPr>
              <w:jc w:val="both"/>
              <w:rPr>
                <w:rFonts w:hAnsi="Times New Roman" w:cs="Times New Roman"/>
              </w:rPr>
            </w:pPr>
            <w:r w:rsidRPr="00681EEF">
              <w:rPr>
                <w:rFonts w:hAnsi="Times New Roman" w:cs="Times New Roman"/>
                <w:b/>
              </w:rPr>
              <w:t>ARTÍCULO 152.</w:t>
            </w:r>
            <w:r w:rsidRPr="00681EEF">
              <w:rPr>
                <w:rFonts w:hAnsi="Times New Roman" w:cs="Times New Roman"/>
              </w:rPr>
              <w:t xml:space="preserve"> Se entiende por </w:t>
            </w:r>
            <w:r w:rsidRPr="00681EEF">
              <w:rPr>
                <w:rFonts w:hAnsi="Times New Roman" w:cs="Times New Roman"/>
                <w:b/>
                <w:u w:val="single"/>
              </w:rPr>
              <w:t>candidatura común</w:t>
            </w:r>
            <w:r w:rsidRPr="00681EEF">
              <w:rPr>
                <w:rFonts w:hAnsi="Times New Roman" w:cs="Times New Roman"/>
              </w:rPr>
              <w:t xml:space="preserve"> cuando dos o más partidos políticos, sin mediar coalición, registren al mismo candidato, fórmula o planilla de candidatos; sujetándose a las siguientes reglas:</w:t>
            </w:r>
          </w:p>
          <w:p w14:paraId="2D53CE84" w14:textId="77777777" w:rsidR="00837807" w:rsidRPr="00681EEF" w:rsidRDefault="00837807" w:rsidP="00837807">
            <w:pPr>
              <w:jc w:val="both"/>
              <w:rPr>
                <w:rFonts w:hAnsi="Times New Roman" w:cs="Times New Roman"/>
                <w:b/>
              </w:rPr>
            </w:pPr>
            <w:r w:rsidRPr="00681EEF">
              <w:rPr>
                <w:rFonts w:hAnsi="Times New Roman" w:cs="Times New Roman"/>
                <w:b/>
              </w:rPr>
              <w:t>I, II, III, IV, V, VI.</w:t>
            </w:r>
          </w:p>
        </w:tc>
      </w:tr>
      <w:tr w:rsidR="00837807" w:rsidRPr="00681EEF" w14:paraId="2AB96D91" w14:textId="77777777" w:rsidTr="00837807">
        <w:trPr>
          <w:trHeight w:val="2468"/>
        </w:trPr>
        <w:tc>
          <w:tcPr>
            <w:tcW w:w="1170" w:type="dxa"/>
          </w:tcPr>
          <w:p w14:paraId="75082157" w14:textId="77777777" w:rsidR="00837807" w:rsidRPr="00681EEF" w:rsidRDefault="00837807" w:rsidP="00837807">
            <w:pPr>
              <w:jc w:val="both"/>
              <w:rPr>
                <w:rFonts w:hAnsi="Times New Roman" w:cs="Times New Roman"/>
              </w:rPr>
            </w:pPr>
            <w:r w:rsidRPr="00681EEF">
              <w:rPr>
                <w:rFonts w:hAnsi="Times New Roman" w:cs="Times New Roman"/>
              </w:rPr>
              <w:lastRenderedPageBreak/>
              <w:t>17</w:t>
            </w:r>
          </w:p>
        </w:tc>
        <w:tc>
          <w:tcPr>
            <w:tcW w:w="1548" w:type="dxa"/>
          </w:tcPr>
          <w:p w14:paraId="53F3EFCE" w14:textId="77777777" w:rsidR="00837807" w:rsidRPr="00681EEF" w:rsidRDefault="00837807" w:rsidP="00837807">
            <w:pPr>
              <w:jc w:val="both"/>
              <w:rPr>
                <w:rFonts w:hAnsi="Times New Roman" w:cs="Times New Roman"/>
              </w:rPr>
            </w:pPr>
            <w:r w:rsidRPr="00681EEF">
              <w:rPr>
                <w:rFonts w:hAnsi="Times New Roman" w:cs="Times New Roman"/>
              </w:rPr>
              <w:t>Morelos</w:t>
            </w:r>
          </w:p>
        </w:tc>
        <w:tc>
          <w:tcPr>
            <w:tcW w:w="1388" w:type="dxa"/>
          </w:tcPr>
          <w:p w14:paraId="5043A3A7" w14:textId="77777777" w:rsidR="00837807" w:rsidRPr="00681EEF" w:rsidRDefault="00837807" w:rsidP="00837807">
            <w:pPr>
              <w:jc w:val="both"/>
              <w:rPr>
                <w:rFonts w:hAnsi="Times New Roman" w:cs="Times New Roman"/>
              </w:rPr>
            </w:pPr>
            <w:r w:rsidRPr="00681EEF">
              <w:rPr>
                <w:rFonts w:hAnsi="Times New Roman" w:cs="Times New Roman"/>
              </w:rPr>
              <w:t>Código de Instituciones y Procedimientos Electorales del Estado de Morelos.</w:t>
            </w:r>
          </w:p>
        </w:tc>
        <w:tc>
          <w:tcPr>
            <w:tcW w:w="4961" w:type="dxa"/>
          </w:tcPr>
          <w:p w14:paraId="4DEA1422" w14:textId="77777777" w:rsidR="00837807" w:rsidRPr="00681EEF" w:rsidRDefault="00837807" w:rsidP="00837807">
            <w:pPr>
              <w:jc w:val="both"/>
              <w:rPr>
                <w:rFonts w:hAnsi="Times New Roman" w:cs="Times New Roman"/>
              </w:rPr>
            </w:pPr>
            <w:r w:rsidRPr="00681EEF">
              <w:rPr>
                <w:rFonts w:hAnsi="Times New Roman" w:cs="Times New Roman"/>
                <w:b/>
              </w:rPr>
              <w:t>Artículo *59.</w:t>
            </w:r>
            <w:r w:rsidRPr="00681EEF">
              <w:rPr>
                <w:rFonts w:hAnsi="Times New Roman" w:cs="Times New Roman"/>
              </w:rPr>
              <w:t xml:space="preserve"> Serán formas específicas de intervención de los partidos políticos en el proceso electoral, </w:t>
            </w:r>
            <w:r w:rsidRPr="00681EEF">
              <w:rPr>
                <w:rFonts w:hAnsi="Times New Roman" w:cs="Times New Roman"/>
                <w:b/>
                <w:u w:val="single"/>
              </w:rPr>
              <w:t>la candidatura común</w:t>
            </w:r>
            <w:r w:rsidRPr="00681EEF">
              <w:rPr>
                <w:rFonts w:hAnsi="Times New Roman" w:cs="Times New Roman"/>
              </w:rPr>
              <w:t>, así como los frentes, coaliciones y fusiones que regulan las Leyes Generales de Partidos Políticos y de Instituciones y Procedimientos Electorales, conforme a los convenios que al efecto se suscriban.</w:t>
            </w:r>
          </w:p>
          <w:p w14:paraId="22E0F23A" w14:textId="50CD2765" w:rsidR="00837807" w:rsidRPr="00681EEF" w:rsidRDefault="00837807" w:rsidP="00837807">
            <w:pPr>
              <w:jc w:val="both"/>
              <w:rPr>
                <w:rFonts w:hAnsi="Times New Roman" w:cs="Times New Roman"/>
              </w:rPr>
            </w:pPr>
          </w:p>
        </w:tc>
      </w:tr>
      <w:tr w:rsidR="00837807" w:rsidRPr="00681EEF" w14:paraId="6BD7D2EF" w14:textId="77777777" w:rsidTr="00837807">
        <w:tc>
          <w:tcPr>
            <w:tcW w:w="1170" w:type="dxa"/>
          </w:tcPr>
          <w:p w14:paraId="26AD2CFE" w14:textId="77777777" w:rsidR="00837807" w:rsidRPr="00681EEF" w:rsidRDefault="00837807" w:rsidP="00837807">
            <w:pPr>
              <w:jc w:val="both"/>
              <w:rPr>
                <w:rFonts w:hAnsi="Times New Roman" w:cs="Times New Roman"/>
              </w:rPr>
            </w:pPr>
            <w:r w:rsidRPr="00681EEF">
              <w:rPr>
                <w:rFonts w:hAnsi="Times New Roman" w:cs="Times New Roman"/>
              </w:rPr>
              <w:t>18</w:t>
            </w:r>
          </w:p>
        </w:tc>
        <w:tc>
          <w:tcPr>
            <w:tcW w:w="1548" w:type="dxa"/>
          </w:tcPr>
          <w:p w14:paraId="5CA3D387" w14:textId="77777777" w:rsidR="00837807" w:rsidRPr="00681EEF" w:rsidRDefault="00837807" w:rsidP="00837807">
            <w:pPr>
              <w:jc w:val="both"/>
              <w:rPr>
                <w:rFonts w:hAnsi="Times New Roman" w:cs="Times New Roman"/>
              </w:rPr>
            </w:pPr>
            <w:r w:rsidRPr="00681EEF">
              <w:rPr>
                <w:rFonts w:hAnsi="Times New Roman" w:cs="Times New Roman"/>
              </w:rPr>
              <w:t>Nuevo León</w:t>
            </w:r>
          </w:p>
        </w:tc>
        <w:tc>
          <w:tcPr>
            <w:tcW w:w="1388" w:type="dxa"/>
          </w:tcPr>
          <w:p w14:paraId="13F6D848" w14:textId="77777777" w:rsidR="00837807" w:rsidRPr="00681EEF" w:rsidRDefault="00837807" w:rsidP="00837807">
            <w:pPr>
              <w:jc w:val="both"/>
              <w:rPr>
                <w:rFonts w:hAnsi="Times New Roman" w:cs="Times New Roman"/>
              </w:rPr>
            </w:pPr>
            <w:r w:rsidRPr="00681EEF">
              <w:rPr>
                <w:rFonts w:hAnsi="Times New Roman" w:cs="Times New Roman"/>
              </w:rPr>
              <w:t>Ley Electoral para el Estado de Nuevo León</w:t>
            </w:r>
          </w:p>
        </w:tc>
        <w:tc>
          <w:tcPr>
            <w:tcW w:w="4961" w:type="dxa"/>
          </w:tcPr>
          <w:p w14:paraId="7FD40DC1" w14:textId="77777777" w:rsidR="00837807" w:rsidRPr="00681EEF" w:rsidRDefault="00837807" w:rsidP="00837807">
            <w:pPr>
              <w:jc w:val="center"/>
              <w:rPr>
                <w:rFonts w:hAnsi="Times New Roman" w:cs="Times New Roman"/>
                <w:b/>
              </w:rPr>
            </w:pPr>
            <w:r w:rsidRPr="00681EEF">
              <w:rPr>
                <w:rFonts w:hAnsi="Times New Roman" w:cs="Times New Roman"/>
                <w:b/>
              </w:rPr>
              <w:t>CAPITULO TERCERO</w:t>
            </w:r>
          </w:p>
          <w:p w14:paraId="0520AFE2" w14:textId="77777777" w:rsidR="00837807" w:rsidRPr="00681EEF" w:rsidRDefault="00837807" w:rsidP="00837807">
            <w:pPr>
              <w:jc w:val="center"/>
              <w:rPr>
                <w:rFonts w:hAnsi="Times New Roman" w:cs="Times New Roman"/>
                <w:b/>
              </w:rPr>
            </w:pPr>
            <w:r w:rsidRPr="00681EEF">
              <w:rPr>
                <w:rFonts w:hAnsi="Times New Roman" w:cs="Times New Roman"/>
                <w:b/>
              </w:rPr>
              <w:t>DE LAS COALICIONES, CANDIDATURAS COMUNES, LOS FRENTES Y LAS FUSIONES</w:t>
            </w:r>
          </w:p>
          <w:p w14:paraId="520833DD" w14:textId="77777777" w:rsidR="00837807" w:rsidRPr="00681EEF" w:rsidRDefault="00837807" w:rsidP="00837807">
            <w:pPr>
              <w:rPr>
                <w:rFonts w:hAnsi="Times New Roman" w:cs="Times New Roman"/>
              </w:rPr>
            </w:pPr>
            <w:r w:rsidRPr="00681EEF">
              <w:rPr>
                <w:rFonts w:hAnsi="Times New Roman" w:cs="Times New Roman"/>
                <w:b/>
              </w:rPr>
              <w:t>Artículo 73.</w:t>
            </w:r>
            <w:r w:rsidRPr="00681EEF">
              <w:rPr>
                <w:rFonts w:hAnsi="Times New Roman" w:cs="Times New Roman"/>
              </w:rPr>
              <w:t xml:space="preserve"> “Los partidos políticos también tendrán derecho a postular candidatos a Gobernador o planillas para Ayuntamientos en </w:t>
            </w:r>
            <w:r w:rsidRPr="00681EEF">
              <w:rPr>
                <w:rFonts w:hAnsi="Times New Roman" w:cs="Times New Roman"/>
                <w:b/>
                <w:u w:val="single"/>
              </w:rPr>
              <w:t>candidatura común con otros partidos</w:t>
            </w:r>
            <w:r w:rsidRPr="00681EEF">
              <w:rPr>
                <w:rFonts w:hAnsi="Times New Roman" w:cs="Times New Roman"/>
              </w:rPr>
              <w:t xml:space="preserve"> en los términos establecidos en esta Ley.”</w:t>
            </w:r>
          </w:p>
          <w:p w14:paraId="645D56CD" w14:textId="6CA0E425" w:rsidR="00837807" w:rsidRPr="00681EEF" w:rsidRDefault="00837807" w:rsidP="00837807">
            <w:pPr>
              <w:rPr>
                <w:rFonts w:hAnsi="Times New Roman" w:cs="Times New Roman"/>
              </w:rPr>
            </w:pPr>
          </w:p>
        </w:tc>
      </w:tr>
      <w:tr w:rsidR="00837807" w:rsidRPr="00681EEF" w14:paraId="3413D0E2" w14:textId="77777777" w:rsidTr="00837807">
        <w:tc>
          <w:tcPr>
            <w:tcW w:w="1170" w:type="dxa"/>
          </w:tcPr>
          <w:p w14:paraId="51C3FA35" w14:textId="77777777" w:rsidR="00837807" w:rsidRPr="00681EEF" w:rsidRDefault="00837807" w:rsidP="00837807">
            <w:pPr>
              <w:jc w:val="both"/>
              <w:rPr>
                <w:rFonts w:hAnsi="Times New Roman" w:cs="Times New Roman"/>
              </w:rPr>
            </w:pPr>
            <w:r w:rsidRPr="00681EEF">
              <w:rPr>
                <w:rFonts w:hAnsi="Times New Roman" w:cs="Times New Roman"/>
              </w:rPr>
              <w:t>19</w:t>
            </w:r>
          </w:p>
        </w:tc>
        <w:tc>
          <w:tcPr>
            <w:tcW w:w="1548" w:type="dxa"/>
          </w:tcPr>
          <w:p w14:paraId="6662A5EF" w14:textId="77777777" w:rsidR="00837807" w:rsidRPr="00681EEF" w:rsidRDefault="00837807" w:rsidP="00837807">
            <w:pPr>
              <w:jc w:val="both"/>
              <w:rPr>
                <w:rFonts w:hAnsi="Times New Roman" w:cs="Times New Roman"/>
              </w:rPr>
            </w:pPr>
            <w:r w:rsidRPr="00681EEF">
              <w:rPr>
                <w:rFonts w:hAnsi="Times New Roman" w:cs="Times New Roman"/>
              </w:rPr>
              <w:t>Oaxaca</w:t>
            </w:r>
          </w:p>
        </w:tc>
        <w:tc>
          <w:tcPr>
            <w:tcW w:w="1388" w:type="dxa"/>
          </w:tcPr>
          <w:p w14:paraId="7184A421" w14:textId="77777777" w:rsidR="00837807" w:rsidRPr="00681EEF" w:rsidRDefault="00837807" w:rsidP="00837807">
            <w:pPr>
              <w:jc w:val="both"/>
              <w:rPr>
                <w:rFonts w:hAnsi="Times New Roman" w:cs="Times New Roman"/>
              </w:rPr>
            </w:pPr>
            <w:r w:rsidRPr="00681EEF">
              <w:rPr>
                <w:rFonts w:hAnsi="Times New Roman" w:cs="Times New Roman"/>
              </w:rPr>
              <w:t>Ley de Instituciones y Procedimientos Electorales del Estado de Oaxaca</w:t>
            </w:r>
          </w:p>
        </w:tc>
        <w:tc>
          <w:tcPr>
            <w:tcW w:w="4961" w:type="dxa"/>
          </w:tcPr>
          <w:p w14:paraId="00CA0513" w14:textId="77777777" w:rsidR="00837807" w:rsidRPr="00681EEF" w:rsidRDefault="00837807" w:rsidP="00837807">
            <w:pPr>
              <w:jc w:val="center"/>
              <w:rPr>
                <w:rFonts w:hAnsi="Times New Roman" w:cs="Times New Roman"/>
                <w:b/>
              </w:rPr>
            </w:pPr>
            <w:r w:rsidRPr="00681EEF">
              <w:rPr>
                <w:rFonts w:hAnsi="Times New Roman" w:cs="Times New Roman"/>
                <w:b/>
              </w:rPr>
              <w:t>CAPÍTULO SEGUNDO</w:t>
            </w:r>
          </w:p>
          <w:p w14:paraId="61315CB4" w14:textId="77777777" w:rsidR="00837807" w:rsidRPr="00681EEF" w:rsidRDefault="00837807" w:rsidP="00837807">
            <w:pPr>
              <w:jc w:val="center"/>
              <w:rPr>
                <w:rFonts w:hAnsi="Times New Roman" w:cs="Times New Roman"/>
                <w:b/>
              </w:rPr>
            </w:pPr>
            <w:r w:rsidRPr="00681EEF">
              <w:rPr>
                <w:rFonts w:hAnsi="Times New Roman" w:cs="Times New Roman"/>
                <w:b/>
              </w:rPr>
              <w:t>DE LAS COALICIONES, FRENTES, FUSIONES</w:t>
            </w:r>
          </w:p>
          <w:p w14:paraId="3DBE4513" w14:textId="77777777" w:rsidR="00837807" w:rsidRPr="00681EEF" w:rsidRDefault="00837807" w:rsidP="00837807">
            <w:pPr>
              <w:jc w:val="both"/>
              <w:rPr>
                <w:rFonts w:hAnsi="Times New Roman" w:cs="Times New Roman"/>
                <w:b/>
              </w:rPr>
            </w:pPr>
            <w:r w:rsidRPr="00681EEF">
              <w:rPr>
                <w:rFonts w:hAnsi="Times New Roman" w:cs="Times New Roman"/>
                <w:b/>
              </w:rPr>
              <w:t>Artículos 300, numeral 2.</w:t>
            </w:r>
          </w:p>
          <w:p w14:paraId="476CCD7B" w14:textId="77777777" w:rsidR="00837807" w:rsidRPr="00681EEF" w:rsidRDefault="00837807" w:rsidP="00837807">
            <w:pPr>
              <w:rPr>
                <w:rFonts w:hAnsi="Times New Roman" w:cs="Times New Roman"/>
                <w:b/>
              </w:rPr>
            </w:pPr>
          </w:p>
        </w:tc>
      </w:tr>
      <w:tr w:rsidR="00837807" w:rsidRPr="00681EEF" w14:paraId="1A168F60" w14:textId="77777777" w:rsidTr="00837807">
        <w:tc>
          <w:tcPr>
            <w:tcW w:w="1170" w:type="dxa"/>
          </w:tcPr>
          <w:p w14:paraId="774148D6" w14:textId="77777777" w:rsidR="00837807" w:rsidRPr="00681EEF" w:rsidRDefault="00837807" w:rsidP="00837807">
            <w:pPr>
              <w:jc w:val="both"/>
              <w:rPr>
                <w:rFonts w:hAnsi="Times New Roman" w:cs="Times New Roman"/>
              </w:rPr>
            </w:pPr>
            <w:r w:rsidRPr="00681EEF">
              <w:rPr>
                <w:rFonts w:hAnsi="Times New Roman" w:cs="Times New Roman"/>
              </w:rPr>
              <w:t>20</w:t>
            </w:r>
          </w:p>
        </w:tc>
        <w:tc>
          <w:tcPr>
            <w:tcW w:w="1548" w:type="dxa"/>
          </w:tcPr>
          <w:p w14:paraId="1E9438AC" w14:textId="77777777" w:rsidR="00837807" w:rsidRPr="00681EEF" w:rsidRDefault="00837807" w:rsidP="00837807">
            <w:pPr>
              <w:jc w:val="both"/>
              <w:rPr>
                <w:rFonts w:hAnsi="Times New Roman" w:cs="Times New Roman"/>
              </w:rPr>
            </w:pPr>
            <w:r w:rsidRPr="00681EEF">
              <w:rPr>
                <w:rFonts w:hAnsi="Times New Roman" w:cs="Times New Roman"/>
              </w:rPr>
              <w:t>Puebla</w:t>
            </w:r>
          </w:p>
        </w:tc>
        <w:tc>
          <w:tcPr>
            <w:tcW w:w="1388" w:type="dxa"/>
          </w:tcPr>
          <w:p w14:paraId="374EECEF" w14:textId="77777777" w:rsidR="00837807" w:rsidRPr="00681EEF" w:rsidRDefault="00837807" w:rsidP="00837807">
            <w:pPr>
              <w:jc w:val="both"/>
              <w:rPr>
                <w:rFonts w:hAnsi="Times New Roman" w:cs="Times New Roman"/>
              </w:rPr>
            </w:pPr>
            <w:r w:rsidRPr="00681EEF">
              <w:rPr>
                <w:rFonts w:hAnsi="Times New Roman" w:cs="Times New Roman"/>
              </w:rPr>
              <w:t>Código de Instituciones y Procesos Electorales del Estado de Puebla</w:t>
            </w:r>
          </w:p>
        </w:tc>
        <w:tc>
          <w:tcPr>
            <w:tcW w:w="4961" w:type="dxa"/>
          </w:tcPr>
          <w:p w14:paraId="37D24E67" w14:textId="77777777" w:rsidR="00837807" w:rsidRPr="00681EEF" w:rsidRDefault="00837807" w:rsidP="00837807">
            <w:pPr>
              <w:jc w:val="both"/>
              <w:rPr>
                <w:rFonts w:hAnsi="Times New Roman" w:cs="Times New Roman"/>
              </w:rPr>
            </w:pPr>
            <w:r w:rsidRPr="00681EEF">
              <w:rPr>
                <w:rFonts w:hAnsi="Times New Roman" w:cs="Times New Roman"/>
                <w:b/>
              </w:rPr>
              <w:t>Artículo 58 Bis.-</w:t>
            </w:r>
            <w:r w:rsidRPr="00681EEF">
              <w:rPr>
                <w:rFonts w:hAnsi="Times New Roman" w:cs="Times New Roman"/>
              </w:rPr>
              <w:t xml:space="preserve">  Los partidos políticos, sin mediar coalición, tendrán derecho a postular </w:t>
            </w:r>
            <w:r w:rsidRPr="00681EEF">
              <w:rPr>
                <w:rFonts w:hAnsi="Times New Roman" w:cs="Times New Roman"/>
                <w:b/>
                <w:u w:val="single"/>
              </w:rPr>
              <w:t>candidaturas comunes</w:t>
            </w:r>
            <w:r w:rsidRPr="00681EEF">
              <w:rPr>
                <w:rFonts w:hAnsi="Times New Roman" w:cs="Times New Roman"/>
              </w:rPr>
              <w:t xml:space="preserve"> para la elección de Gobernador, Diputados de Mayoría y planillas de miembros de ayuntamientos.</w:t>
            </w:r>
          </w:p>
        </w:tc>
      </w:tr>
      <w:tr w:rsidR="00837807" w:rsidRPr="00681EEF" w14:paraId="1E1EB346" w14:textId="77777777" w:rsidTr="00837807">
        <w:tc>
          <w:tcPr>
            <w:tcW w:w="1170" w:type="dxa"/>
          </w:tcPr>
          <w:p w14:paraId="6E871410" w14:textId="77777777" w:rsidR="00837807" w:rsidRPr="00681EEF" w:rsidRDefault="00837807" w:rsidP="00837807">
            <w:pPr>
              <w:jc w:val="both"/>
              <w:rPr>
                <w:rFonts w:hAnsi="Times New Roman" w:cs="Times New Roman"/>
              </w:rPr>
            </w:pPr>
            <w:r w:rsidRPr="00681EEF">
              <w:rPr>
                <w:rFonts w:hAnsi="Times New Roman" w:cs="Times New Roman"/>
              </w:rPr>
              <w:t>21</w:t>
            </w:r>
          </w:p>
        </w:tc>
        <w:tc>
          <w:tcPr>
            <w:tcW w:w="1548" w:type="dxa"/>
          </w:tcPr>
          <w:p w14:paraId="4F19A0DF" w14:textId="77777777" w:rsidR="00837807" w:rsidRPr="00681EEF" w:rsidRDefault="00837807" w:rsidP="00837807">
            <w:pPr>
              <w:jc w:val="both"/>
              <w:rPr>
                <w:rFonts w:hAnsi="Times New Roman" w:cs="Times New Roman"/>
              </w:rPr>
            </w:pPr>
            <w:r w:rsidRPr="00681EEF">
              <w:rPr>
                <w:rFonts w:hAnsi="Times New Roman" w:cs="Times New Roman"/>
              </w:rPr>
              <w:t>Querétaro</w:t>
            </w:r>
          </w:p>
        </w:tc>
        <w:tc>
          <w:tcPr>
            <w:tcW w:w="1388" w:type="dxa"/>
          </w:tcPr>
          <w:p w14:paraId="253D7CFB" w14:textId="77777777" w:rsidR="00837807" w:rsidRPr="00681EEF" w:rsidRDefault="00837807" w:rsidP="00837807">
            <w:pPr>
              <w:jc w:val="both"/>
              <w:rPr>
                <w:rFonts w:hAnsi="Times New Roman" w:cs="Times New Roman"/>
              </w:rPr>
            </w:pPr>
            <w:r w:rsidRPr="00681EEF">
              <w:rPr>
                <w:rFonts w:hAnsi="Times New Roman" w:cs="Times New Roman"/>
              </w:rPr>
              <w:t xml:space="preserve">Ley Electoral del Estado de Querétaro </w:t>
            </w:r>
          </w:p>
        </w:tc>
        <w:tc>
          <w:tcPr>
            <w:tcW w:w="4961" w:type="dxa"/>
          </w:tcPr>
          <w:p w14:paraId="1BB4DED5" w14:textId="77777777" w:rsidR="00837807" w:rsidRPr="00681EEF" w:rsidRDefault="00837807" w:rsidP="00837807">
            <w:pPr>
              <w:jc w:val="both"/>
              <w:rPr>
                <w:rFonts w:hAnsi="Times New Roman" w:cs="Times New Roman"/>
              </w:rPr>
            </w:pPr>
          </w:p>
          <w:p w14:paraId="04D56527" w14:textId="77777777" w:rsidR="00837807" w:rsidRPr="00681EEF" w:rsidRDefault="00837807" w:rsidP="00837807">
            <w:pPr>
              <w:jc w:val="center"/>
              <w:rPr>
                <w:rFonts w:hAnsi="Times New Roman" w:cs="Times New Roman"/>
                <w:b/>
              </w:rPr>
            </w:pPr>
            <w:r w:rsidRPr="00681EEF">
              <w:rPr>
                <w:rFonts w:hAnsi="Times New Roman" w:cs="Times New Roman"/>
                <w:b/>
              </w:rPr>
              <w:t>Capítulo Segundo</w:t>
            </w:r>
          </w:p>
          <w:p w14:paraId="09963F7F" w14:textId="77777777" w:rsidR="00837807" w:rsidRPr="00681EEF" w:rsidRDefault="00837807" w:rsidP="00837807">
            <w:pPr>
              <w:jc w:val="center"/>
              <w:rPr>
                <w:rFonts w:hAnsi="Times New Roman" w:cs="Times New Roman"/>
                <w:b/>
              </w:rPr>
            </w:pPr>
            <w:r w:rsidRPr="00681EEF">
              <w:rPr>
                <w:rFonts w:hAnsi="Times New Roman" w:cs="Times New Roman"/>
                <w:b/>
              </w:rPr>
              <w:t>De las candidaturas comunes y fusiones</w:t>
            </w:r>
          </w:p>
          <w:p w14:paraId="640E92B2" w14:textId="77777777" w:rsidR="00837807" w:rsidRPr="00681EEF" w:rsidRDefault="00837807" w:rsidP="00837807">
            <w:pPr>
              <w:rPr>
                <w:rFonts w:hAnsi="Times New Roman" w:cs="Times New Roman"/>
                <w:b/>
              </w:rPr>
            </w:pPr>
            <w:r w:rsidRPr="00681EEF">
              <w:rPr>
                <w:rFonts w:hAnsi="Times New Roman" w:cs="Times New Roman"/>
                <w:b/>
              </w:rPr>
              <w:t>Artículos 143, 144, 145, 146, 147, 148, 149, 150.</w:t>
            </w:r>
          </w:p>
        </w:tc>
      </w:tr>
      <w:tr w:rsidR="00837807" w:rsidRPr="00681EEF" w14:paraId="63CDBD18" w14:textId="77777777" w:rsidTr="00837807">
        <w:tc>
          <w:tcPr>
            <w:tcW w:w="1170" w:type="dxa"/>
          </w:tcPr>
          <w:p w14:paraId="1AD03A88" w14:textId="77777777" w:rsidR="00837807" w:rsidRPr="00681EEF" w:rsidRDefault="00837807" w:rsidP="00837807">
            <w:pPr>
              <w:jc w:val="both"/>
              <w:rPr>
                <w:rFonts w:hAnsi="Times New Roman" w:cs="Times New Roman"/>
              </w:rPr>
            </w:pPr>
            <w:r w:rsidRPr="00681EEF">
              <w:rPr>
                <w:rFonts w:hAnsi="Times New Roman" w:cs="Times New Roman"/>
              </w:rPr>
              <w:t>22</w:t>
            </w:r>
          </w:p>
        </w:tc>
        <w:tc>
          <w:tcPr>
            <w:tcW w:w="1548" w:type="dxa"/>
          </w:tcPr>
          <w:p w14:paraId="41622C6D" w14:textId="77777777" w:rsidR="00837807" w:rsidRPr="00681EEF" w:rsidRDefault="00837807" w:rsidP="00837807">
            <w:pPr>
              <w:jc w:val="both"/>
              <w:rPr>
                <w:rFonts w:hAnsi="Times New Roman" w:cs="Times New Roman"/>
              </w:rPr>
            </w:pPr>
            <w:r w:rsidRPr="00681EEF">
              <w:rPr>
                <w:rFonts w:hAnsi="Times New Roman" w:cs="Times New Roman"/>
              </w:rPr>
              <w:t>Quintana Roo</w:t>
            </w:r>
          </w:p>
        </w:tc>
        <w:tc>
          <w:tcPr>
            <w:tcW w:w="1388" w:type="dxa"/>
          </w:tcPr>
          <w:p w14:paraId="6E4F3433" w14:textId="77777777" w:rsidR="00837807" w:rsidRPr="00681EEF" w:rsidRDefault="00837807" w:rsidP="00837807">
            <w:pPr>
              <w:jc w:val="both"/>
              <w:rPr>
                <w:rFonts w:hAnsi="Times New Roman" w:cs="Times New Roman"/>
              </w:rPr>
            </w:pPr>
            <w:r w:rsidRPr="00681EEF">
              <w:rPr>
                <w:rFonts w:hAnsi="Times New Roman" w:cs="Times New Roman"/>
              </w:rPr>
              <w:t>Ley de Instituciones y Procedimientos Electorales para el Estado de Quintana Roo</w:t>
            </w:r>
          </w:p>
        </w:tc>
        <w:tc>
          <w:tcPr>
            <w:tcW w:w="4961" w:type="dxa"/>
          </w:tcPr>
          <w:p w14:paraId="6F928A3A" w14:textId="77777777" w:rsidR="00837807" w:rsidRPr="00681EEF" w:rsidRDefault="00837807" w:rsidP="00837807">
            <w:pPr>
              <w:jc w:val="both"/>
              <w:rPr>
                <w:rFonts w:hAnsi="Times New Roman" w:cs="Times New Roman"/>
              </w:rPr>
            </w:pPr>
            <w:r w:rsidRPr="00681EEF">
              <w:rPr>
                <w:rFonts w:hAnsi="Times New Roman" w:cs="Times New Roman"/>
              </w:rPr>
              <w:t>No lo contempla</w:t>
            </w:r>
          </w:p>
        </w:tc>
      </w:tr>
      <w:tr w:rsidR="00837807" w:rsidRPr="00681EEF" w14:paraId="1A076FE0" w14:textId="77777777" w:rsidTr="00837807">
        <w:tc>
          <w:tcPr>
            <w:tcW w:w="1170" w:type="dxa"/>
          </w:tcPr>
          <w:p w14:paraId="66DC1C74" w14:textId="77777777" w:rsidR="00837807" w:rsidRPr="00681EEF" w:rsidRDefault="00837807" w:rsidP="00837807">
            <w:pPr>
              <w:jc w:val="both"/>
              <w:rPr>
                <w:rFonts w:hAnsi="Times New Roman" w:cs="Times New Roman"/>
              </w:rPr>
            </w:pPr>
            <w:r w:rsidRPr="00681EEF">
              <w:rPr>
                <w:rFonts w:hAnsi="Times New Roman" w:cs="Times New Roman"/>
              </w:rPr>
              <w:t>23</w:t>
            </w:r>
          </w:p>
        </w:tc>
        <w:tc>
          <w:tcPr>
            <w:tcW w:w="1548" w:type="dxa"/>
          </w:tcPr>
          <w:p w14:paraId="253C8D12" w14:textId="77777777" w:rsidR="00837807" w:rsidRPr="00681EEF" w:rsidRDefault="00837807" w:rsidP="00837807">
            <w:pPr>
              <w:jc w:val="both"/>
              <w:rPr>
                <w:rFonts w:hAnsi="Times New Roman" w:cs="Times New Roman"/>
              </w:rPr>
            </w:pPr>
            <w:r w:rsidRPr="00681EEF">
              <w:rPr>
                <w:rFonts w:hAnsi="Times New Roman" w:cs="Times New Roman"/>
              </w:rPr>
              <w:t>San Luis Potosí</w:t>
            </w:r>
          </w:p>
        </w:tc>
        <w:tc>
          <w:tcPr>
            <w:tcW w:w="1388" w:type="dxa"/>
          </w:tcPr>
          <w:p w14:paraId="1EFCB9D7" w14:textId="77777777" w:rsidR="00837807" w:rsidRPr="00681EEF" w:rsidRDefault="00837807" w:rsidP="00837807">
            <w:pPr>
              <w:jc w:val="both"/>
              <w:rPr>
                <w:rFonts w:hAnsi="Times New Roman" w:cs="Times New Roman"/>
              </w:rPr>
            </w:pPr>
            <w:r w:rsidRPr="00681EEF">
              <w:rPr>
                <w:rFonts w:hAnsi="Times New Roman" w:cs="Times New Roman"/>
              </w:rPr>
              <w:t>Ley Electoral del Estado de San Luis Potosí</w:t>
            </w:r>
          </w:p>
        </w:tc>
        <w:tc>
          <w:tcPr>
            <w:tcW w:w="4961" w:type="dxa"/>
          </w:tcPr>
          <w:p w14:paraId="60723FD3" w14:textId="77777777" w:rsidR="00837807" w:rsidRPr="00681EEF" w:rsidRDefault="00837807" w:rsidP="00837807">
            <w:pPr>
              <w:jc w:val="both"/>
              <w:rPr>
                <w:rFonts w:hAnsi="Times New Roman" w:cs="Times New Roman"/>
              </w:rPr>
            </w:pPr>
            <w:r w:rsidRPr="00681EEF">
              <w:rPr>
                <w:rFonts w:hAnsi="Times New Roman" w:cs="Times New Roman"/>
              </w:rPr>
              <w:t>No lo contempla</w:t>
            </w:r>
          </w:p>
        </w:tc>
      </w:tr>
      <w:tr w:rsidR="00837807" w:rsidRPr="00681EEF" w14:paraId="7562A78B" w14:textId="77777777" w:rsidTr="00837807">
        <w:tc>
          <w:tcPr>
            <w:tcW w:w="1170" w:type="dxa"/>
          </w:tcPr>
          <w:p w14:paraId="2A5B9F45" w14:textId="77777777" w:rsidR="00837807" w:rsidRPr="00681EEF" w:rsidRDefault="00837807" w:rsidP="00837807">
            <w:pPr>
              <w:jc w:val="both"/>
              <w:rPr>
                <w:rFonts w:hAnsi="Times New Roman" w:cs="Times New Roman"/>
              </w:rPr>
            </w:pPr>
            <w:r w:rsidRPr="00681EEF">
              <w:rPr>
                <w:rFonts w:hAnsi="Times New Roman" w:cs="Times New Roman"/>
              </w:rPr>
              <w:lastRenderedPageBreak/>
              <w:t>24</w:t>
            </w:r>
          </w:p>
        </w:tc>
        <w:tc>
          <w:tcPr>
            <w:tcW w:w="1548" w:type="dxa"/>
          </w:tcPr>
          <w:p w14:paraId="17F9EB11" w14:textId="77777777" w:rsidR="00837807" w:rsidRPr="00681EEF" w:rsidRDefault="00837807" w:rsidP="00837807">
            <w:pPr>
              <w:jc w:val="both"/>
              <w:rPr>
                <w:rFonts w:hAnsi="Times New Roman" w:cs="Times New Roman"/>
              </w:rPr>
            </w:pPr>
            <w:r w:rsidRPr="00681EEF">
              <w:rPr>
                <w:rFonts w:hAnsi="Times New Roman" w:cs="Times New Roman"/>
              </w:rPr>
              <w:t>Sinaloa</w:t>
            </w:r>
          </w:p>
        </w:tc>
        <w:tc>
          <w:tcPr>
            <w:tcW w:w="1388" w:type="dxa"/>
          </w:tcPr>
          <w:p w14:paraId="69BBAC36" w14:textId="77777777" w:rsidR="00837807" w:rsidRPr="00681EEF" w:rsidRDefault="00837807" w:rsidP="00837807">
            <w:pPr>
              <w:jc w:val="both"/>
              <w:rPr>
                <w:rFonts w:hAnsi="Times New Roman" w:cs="Times New Roman"/>
              </w:rPr>
            </w:pPr>
            <w:r w:rsidRPr="00681EEF">
              <w:rPr>
                <w:rFonts w:hAnsi="Times New Roman" w:cs="Times New Roman"/>
              </w:rPr>
              <w:t>Ley de Instituciones y Procedimientos Electorales del Estado de Sinaloa</w:t>
            </w:r>
          </w:p>
        </w:tc>
        <w:tc>
          <w:tcPr>
            <w:tcW w:w="4961" w:type="dxa"/>
          </w:tcPr>
          <w:p w14:paraId="6763818F" w14:textId="77777777" w:rsidR="00837807" w:rsidRPr="00681EEF" w:rsidRDefault="00837807" w:rsidP="00837807">
            <w:pPr>
              <w:jc w:val="both"/>
              <w:rPr>
                <w:rFonts w:hAnsi="Times New Roman" w:cs="Times New Roman"/>
              </w:rPr>
            </w:pPr>
          </w:p>
          <w:p w14:paraId="6F6E4BE6" w14:textId="77777777" w:rsidR="00837807" w:rsidRPr="00681EEF" w:rsidRDefault="00837807" w:rsidP="00837807">
            <w:pPr>
              <w:jc w:val="both"/>
              <w:rPr>
                <w:rFonts w:hAnsi="Times New Roman" w:cs="Times New Roman"/>
                <w:b/>
              </w:rPr>
            </w:pPr>
            <w:r w:rsidRPr="00681EEF">
              <w:rPr>
                <w:rFonts w:hAnsi="Times New Roman" w:cs="Times New Roman"/>
                <w:b/>
              </w:rPr>
              <w:t>Artículos 14 segundo párrafo y tercer párrafo, 237 fracción IX, 238 fracción II, 239 fracción II.</w:t>
            </w:r>
          </w:p>
        </w:tc>
      </w:tr>
      <w:tr w:rsidR="00837807" w:rsidRPr="00681EEF" w14:paraId="156F49D2" w14:textId="77777777" w:rsidTr="00837807">
        <w:tc>
          <w:tcPr>
            <w:tcW w:w="1170" w:type="dxa"/>
          </w:tcPr>
          <w:p w14:paraId="64C27C66" w14:textId="77777777" w:rsidR="00837807" w:rsidRPr="00681EEF" w:rsidRDefault="00837807" w:rsidP="00837807">
            <w:pPr>
              <w:jc w:val="both"/>
              <w:rPr>
                <w:rFonts w:hAnsi="Times New Roman" w:cs="Times New Roman"/>
              </w:rPr>
            </w:pPr>
            <w:r w:rsidRPr="00681EEF">
              <w:rPr>
                <w:rFonts w:hAnsi="Times New Roman" w:cs="Times New Roman"/>
              </w:rPr>
              <w:t>25</w:t>
            </w:r>
          </w:p>
        </w:tc>
        <w:tc>
          <w:tcPr>
            <w:tcW w:w="1548" w:type="dxa"/>
          </w:tcPr>
          <w:p w14:paraId="142B4D78" w14:textId="77777777" w:rsidR="00837807" w:rsidRPr="00681EEF" w:rsidRDefault="00837807" w:rsidP="00837807">
            <w:pPr>
              <w:jc w:val="both"/>
              <w:rPr>
                <w:rFonts w:hAnsi="Times New Roman" w:cs="Times New Roman"/>
              </w:rPr>
            </w:pPr>
            <w:r w:rsidRPr="00681EEF">
              <w:rPr>
                <w:rFonts w:hAnsi="Times New Roman" w:cs="Times New Roman"/>
              </w:rPr>
              <w:t>Sonora</w:t>
            </w:r>
          </w:p>
        </w:tc>
        <w:tc>
          <w:tcPr>
            <w:tcW w:w="1388" w:type="dxa"/>
          </w:tcPr>
          <w:p w14:paraId="5C47A419" w14:textId="77777777" w:rsidR="00837807" w:rsidRPr="00681EEF" w:rsidRDefault="00837807" w:rsidP="00837807">
            <w:pPr>
              <w:jc w:val="both"/>
              <w:rPr>
                <w:rFonts w:hAnsi="Times New Roman" w:cs="Times New Roman"/>
              </w:rPr>
            </w:pPr>
            <w:r w:rsidRPr="00681EEF">
              <w:rPr>
                <w:rFonts w:hAnsi="Times New Roman" w:cs="Times New Roman"/>
              </w:rPr>
              <w:t>Ley de Instituciones y Procedimientos Electorales para el Estado de Sonora</w:t>
            </w:r>
          </w:p>
        </w:tc>
        <w:tc>
          <w:tcPr>
            <w:tcW w:w="4961" w:type="dxa"/>
          </w:tcPr>
          <w:p w14:paraId="4EEAF934" w14:textId="77777777" w:rsidR="00837807" w:rsidRPr="00681EEF" w:rsidRDefault="00837807" w:rsidP="00837807">
            <w:pPr>
              <w:jc w:val="both"/>
              <w:rPr>
                <w:rFonts w:hAnsi="Times New Roman" w:cs="Times New Roman"/>
              </w:rPr>
            </w:pPr>
            <w:r w:rsidRPr="00681EEF">
              <w:rPr>
                <w:rFonts w:hAnsi="Times New Roman" w:cs="Times New Roman"/>
                <w:b/>
              </w:rPr>
              <w:t xml:space="preserve">ARTÍCULO 99 </w:t>
            </w:r>
            <w:proofErr w:type="gramStart"/>
            <w:r w:rsidRPr="00681EEF">
              <w:rPr>
                <w:rFonts w:hAnsi="Times New Roman" w:cs="Times New Roman"/>
                <w:b/>
              </w:rPr>
              <w:t>BIS.-</w:t>
            </w:r>
            <w:proofErr w:type="gramEnd"/>
            <w:r w:rsidRPr="00681EEF">
              <w:rPr>
                <w:rFonts w:hAnsi="Times New Roman" w:cs="Times New Roman"/>
              </w:rPr>
              <w:t xml:space="preserve"> Los partidos políticos tendrán derecho a postular candidaturas comunes para la elección de gobernador, diputados de mayoría y planillas de ayuntamientos. </w:t>
            </w:r>
            <w:r w:rsidRPr="00681EEF">
              <w:rPr>
                <w:rFonts w:hAnsi="Times New Roman" w:cs="Times New Roman"/>
                <w:b/>
                <w:u w:val="single"/>
              </w:rPr>
              <w:t xml:space="preserve">Los partidos políticos que postulen candidato común </w:t>
            </w:r>
            <w:r w:rsidRPr="00681EEF">
              <w:rPr>
                <w:rFonts w:hAnsi="Times New Roman" w:cs="Times New Roman"/>
              </w:rPr>
              <w:t>deberán suscribir un convenio firmado por dirigentes o sus equivalentes, el que deberán presentar para su acreditación ante el Instituto, hasta antes del inicio del periodo de registro de candidatos de la elección de que se trate.</w:t>
            </w:r>
          </w:p>
          <w:p w14:paraId="3C2FEBA1" w14:textId="3814895B" w:rsidR="00837807" w:rsidRPr="00681EEF" w:rsidRDefault="00837807" w:rsidP="00837807">
            <w:pPr>
              <w:jc w:val="both"/>
              <w:rPr>
                <w:rFonts w:hAnsi="Times New Roman" w:cs="Times New Roman"/>
                <w:b/>
              </w:rPr>
            </w:pPr>
          </w:p>
        </w:tc>
      </w:tr>
      <w:tr w:rsidR="00837807" w:rsidRPr="00681EEF" w14:paraId="291C2C45" w14:textId="77777777" w:rsidTr="00837807">
        <w:tc>
          <w:tcPr>
            <w:tcW w:w="1170" w:type="dxa"/>
          </w:tcPr>
          <w:p w14:paraId="696FB7F5" w14:textId="77777777" w:rsidR="00837807" w:rsidRPr="00681EEF" w:rsidRDefault="00837807" w:rsidP="00837807">
            <w:pPr>
              <w:jc w:val="both"/>
              <w:rPr>
                <w:rFonts w:hAnsi="Times New Roman" w:cs="Times New Roman"/>
              </w:rPr>
            </w:pPr>
            <w:r w:rsidRPr="00681EEF">
              <w:rPr>
                <w:rFonts w:hAnsi="Times New Roman" w:cs="Times New Roman"/>
              </w:rPr>
              <w:t>26</w:t>
            </w:r>
          </w:p>
        </w:tc>
        <w:tc>
          <w:tcPr>
            <w:tcW w:w="1548" w:type="dxa"/>
          </w:tcPr>
          <w:p w14:paraId="7DF11475" w14:textId="77777777" w:rsidR="00837807" w:rsidRPr="00681EEF" w:rsidRDefault="00837807" w:rsidP="00837807">
            <w:pPr>
              <w:jc w:val="both"/>
              <w:rPr>
                <w:rFonts w:hAnsi="Times New Roman" w:cs="Times New Roman"/>
              </w:rPr>
            </w:pPr>
            <w:r w:rsidRPr="00681EEF">
              <w:rPr>
                <w:rFonts w:hAnsi="Times New Roman" w:cs="Times New Roman"/>
              </w:rPr>
              <w:t>Tabasco</w:t>
            </w:r>
          </w:p>
        </w:tc>
        <w:tc>
          <w:tcPr>
            <w:tcW w:w="1388" w:type="dxa"/>
          </w:tcPr>
          <w:p w14:paraId="24AAC045" w14:textId="77777777" w:rsidR="00837807" w:rsidRPr="00681EEF" w:rsidRDefault="00837807" w:rsidP="00837807">
            <w:pPr>
              <w:jc w:val="both"/>
              <w:rPr>
                <w:rFonts w:hAnsi="Times New Roman" w:cs="Times New Roman"/>
              </w:rPr>
            </w:pPr>
            <w:r w:rsidRPr="00681EEF">
              <w:rPr>
                <w:rFonts w:hAnsi="Times New Roman" w:cs="Times New Roman"/>
              </w:rPr>
              <w:t>Ley Electoral del Estado de Tabasco</w:t>
            </w:r>
          </w:p>
        </w:tc>
        <w:tc>
          <w:tcPr>
            <w:tcW w:w="4961" w:type="dxa"/>
          </w:tcPr>
          <w:p w14:paraId="7D6A0B5D" w14:textId="42B8EB0B" w:rsidR="008E5000" w:rsidRPr="00681EEF" w:rsidRDefault="00837807" w:rsidP="008E5000">
            <w:pPr>
              <w:jc w:val="both"/>
              <w:rPr>
                <w:rFonts w:hAnsi="Times New Roman" w:cs="Times New Roman"/>
                <w:b/>
              </w:rPr>
            </w:pPr>
            <w:r w:rsidRPr="00681EEF">
              <w:rPr>
                <w:rFonts w:hAnsi="Times New Roman" w:cs="Times New Roman"/>
                <w:b/>
              </w:rPr>
              <w:t>ARTÍCULO 93.-</w:t>
            </w:r>
            <w:r w:rsidRPr="00681EEF">
              <w:rPr>
                <w:rFonts w:hAnsi="Times New Roman" w:cs="Times New Roman"/>
              </w:rPr>
              <w:t xml:space="preserve">  1. Se entiende por </w:t>
            </w:r>
            <w:r w:rsidRPr="00681EEF">
              <w:rPr>
                <w:rFonts w:hAnsi="Times New Roman" w:cs="Times New Roman"/>
                <w:b/>
                <w:u w:val="single"/>
              </w:rPr>
              <w:t>candidatura común</w:t>
            </w:r>
            <w:r w:rsidRPr="00681EEF">
              <w:rPr>
                <w:rFonts w:hAnsi="Times New Roman" w:cs="Times New Roman"/>
              </w:rPr>
              <w:t xml:space="preserve"> cuando dos o más Partidos Políticos, sin mediar coalición, registren al mismo candidato, fórmula o planilla de candidatos, por el principio de mayoría relativa, sujetándose a las siguientes reglas:</w:t>
            </w:r>
          </w:p>
          <w:p w14:paraId="041808F4" w14:textId="2956150B" w:rsidR="00837807" w:rsidRPr="00681EEF" w:rsidRDefault="00837807" w:rsidP="00837807">
            <w:pPr>
              <w:jc w:val="both"/>
              <w:rPr>
                <w:rFonts w:hAnsi="Times New Roman" w:cs="Times New Roman"/>
                <w:b/>
              </w:rPr>
            </w:pPr>
          </w:p>
        </w:tc>
      </w:tr>
      <w:tr w:rsidR="00837807" w:rsidRPr="00681EEF" w14:paraId="4C45B179" w14:textId="77777777" w:rsidTr="00837807">
        <w:tc>
          <w:tcPr>
            <w:tcW w:w="1170" w:type="dxa"/>
          </w:tcPr>
          <w:p w14:paraId="38DB0C50" w14:textId="77777777" w:rsidR="00837807" w:rsidRPr="00681EEF" w:rsidRDefault="00837807" w:rsidP="00837807">
            <w:pPr>
              <w:jc w:val="both"/>
              <w:rPr>
                <w:rFonts w:hAnsi="Times New Roman" w:cs="Times New Roman"/>
              </w:rPr>
            </w:pPr>
            <w:r w:rsidRPr="00681EEF">
              <w:rPr>
                <w:rFonts w:hAnsi="Times New Roman" w:cs="Times New Roman"/>
              </w:rPr>
              <w:t>27</w:t>
            </w:r>
          </w:p>
        </w:tc>
        <w:tc>
          <w:tcPr>
            <w:tcW w:w="1548" w:type="dxa"/>
          </w:tcPr>
          <w:p w14:paraId="46742A36" w14:textId="77777777" w:rsidR="00837807" w:rsidRPr="00681EEF" w:rsidRDefault="00837807" w:rsidP="00837807">
            <w:pPr>
              <w:jc w:val="both"/>
              <w:rPr>
                <w:rFonts w:hAnsi="Times New Roman" w:cs="Times New Roman"/>
              </w:rPr>
            </w:pPr>
            <w:r w:rsidRPr="00681EEF">
              <w:rPr>
                <w:rFonts w:hAnsi="Times New Roman" w:cs="Times New Roman"/>
              </w:rPr>
              <w:t>Tamaulipas</w:t>
            </w:r>
          </w:p>
        </w:tc>
        <w:tc>
          <w:tcPr>
            <w:tcW w:w="1388" w:type="dxa"/>
          </w:tcPr>
          <w:p w14:paraId="71842897" w14:textId="77777777" w:rsidR="00837807" w:rsidRPr="00681EEF" w:rsidRDefault="00837807" w:rsidP="00837807">
            <w:pPr>
              <w:jc w:val="both"/>
              <w:rPr>
                <w:rFonts w:hAnsi="Times New Roman" w:cs="Times New Roman"/>
              </w:rPr>
            </w:pPr>
            <w:r w:rsidRPr="00681EEF">
              <w:rPr>
                <w:rFonts w:hAnsi="Times New Roman" w:cs="Times New Roman"/>
              </w:rPr>
              <w:t>Ley Electoral del Estado de Tamaulipas</w:t>
            </w:r>
          </w:p>
        </w:tc>
        <w:tc>
          <w:tcPr>
            <w:tcW w:w="4961" w:type="dxa"/>
          </w:tcPr>
          <w:p w14:paraId="5D2E176E" w14:textId="77777777" w:rsidR="00837807" w:rsidRPr="00681EEF" w:rsidRDefault="00837807" w:rsidP="00837807">
            <w:pPr>
              <w:rPr>
                <w:rFonts w:hAnsi="Times New Roman" w:cs="Times New Roman"/>
              </w:rPr>
            </w:pPr>
            <w:r w:rsidRPr="00681EEF">
              <w:rPr>
                <w:rFonts w:hAnsi="Times New Roman" w:cs="Times New Roman"/>
              </w:rPr>
              <w:t xml:space="preserve">Artículo 89.-  … Por cuanto hace a las </w:t>
            </w:r>
            <w:r w:rsidRPr="00681EEF">
              <w:rPr>
                <w:rFonts w:hAnsi="Times New Roman" w:cs="Times New Roman"/>
                <w:b/>
                <w:u w:val="single"/>
              </w:rPr>
              <w:t>candidaturas comunes</w:t>
            </w:r>
            <w:r w:rsidRPr="00681EEF">
              <w:rPr>
                <w:rFonts w:hAnsi="Times New Roman" w:cs="Times New Roman"/>
              </w:rPr>
              <w:t>, los partidos políticos con registro, tendrán derecho a postularlas para la elección de Gubernatura, Diputaciones de mayoría y planillas de ayuntamientos, de acuerdo con lo siguiente: I, II, III, IV, V, VI, VII, VIII, IX.</w:t>
            </w:r>
          </w:p>
        </w:tc>
      </w:tr>
      <w:tr w:rsidR="00837807" w:rsidRPr="00681EEF" w14:paraId="6BA868D1" w14:textId="77777777" w:rsidTr="00837807">
        <w:tc>
          <w:tcPr>
            <w:tcW w:w="1170" w:type="dxa"/>
          </w:tcPr>
          <w:p w14:paraId="28B658FB" w14:textId="77777777" w:rsidR="00837807" w:rsidRPr="00681EEF" w:rsidRDefault="00837807" w:rsidP="00837807">
            <w:pPr>
              <w:jc w:val="both"/>
              <w:rPr>
                <w:rFonts w:hAnsi="Times New Roman" w:cs="Times New Roman"/>
              </w:rPr>
            </w:pPr>
            <w:r w:rsidRPr="00681EEF">
              <w:rPr>
                <w:rFonts w:hAnsi="Times New Roman" w:cs="Times New Roman"/>
              </w:rPr>
              <w:t>28</w:t>
            </w:r>
          </w:p>
        </w:tc>
        <w:tc>
          <w:tcPr>
            <w:tcW w:w="1548" w:type="dxa"/>
          </w:tcPr>
          <w:p w14:paraId="76806FD8" w14:textId="77777777" w:rsidR="00837807" w:rsidRPr="00681EEF" w:rsidRDefault="00837807" w:rsidP="00837807">
            <w:pPr>
              <w:jc w:val="both"/>
              <w:rPr>
                <w:rFonts w:hAnsi="Times New Roman" w:cs="Times New Roman"/>
              </w:rPr>
            </w:pPr>
            <w:r w:rsidRPr="00681EEF">
              <w:rPr>
                <w:rFonts w:hAnsi="Times New Roman" w:cs="Times New Roman"/>
              </w:rPr>
              <w:t>Tlaxcala</w:t>
            </w:r>
          </w:p>
        </w:tc>
        <w:tc>
          <w:tcPr>
            <w:tcW w:w="1388" w:type="dxa"/>
          </w:tcPr>
          <w:p w14:paraId="384FA96E" w14:textId="77777777" w:rsidR="00837807" w:rsidRPr="00681EEF" w:rsidRDefault="00837807" w:rsidP="00837807">
            <w:pPr>
              <w:jc w:val="both"/>
              <w:rPr>
                <w:rFonts w:hAnsi="Times New Roman" w:cs="Times New Roman"/>
              </w:rPr>
            </w:pPr>
            <w:r w:rsidRPr="00681EEF">
              <w:rPr>
                <w:rFonts w:hAnsi="Times New Roman" w:cs="Times New Roman"/>
              </w:rPr>
              <w:t>Ley de Instituciones y Procedimientos Electorales para el Estado de Tlaxcala</w:t>
            </w:r>
          </w:p>
        </w:tc>
        <w:tc>
          <w:tcPr>
            <w:tcW w:w="4961" w:type="dxa"/>
          </w:tcPr>
          <w:p w14:paraId="6323B375" w14:textId="77777777" w:rsidR="00837807" w:rsidRPr="00681EEF" w:rsidRDefault="00837807" w:rsidP="00837807">
            <w:pPr>
              <w:jc w:val="both"/>
              <w:rPr>
                <w:rFonts w:hAnsi="Times New Roman" w:cs="Times New Roman"/>
              </w:rPr>
            </w:pPr>
            <w:r w:rsidRPr="00681EEF">
              <w:rPr>
                <w:rFonts w:hAnsi="Times New Roman" w:cs="Times New Roman"/>
                <w:b/>
              </w:rPr>
              <w:t>Artículo 157.-</w:t>
            </w:r>
            <w:r w:rsidRPr="00681EEF">
              <w:rPr>
                <w:rFonts w:hAnsi="Times New Roman" w:cs="Times New Roman"/>
              </w:rPr>
              <w:t xml:space="preserve">  Cuando un partido político, coalición o </w:t>
            </w:r>
            <w:r w:rsidRPr="00681EEF">
              <w:rPr>
                <w:rFonts w:hAnsi="Times New Roman" w:cs="Times New Roman"/>
                <w:b/>
                <w:u w:val="single"/>
              </w:rPr>
              <w:t>candidatura común</w:t>
            </w:r>
            <w:r w:rsidRPr="00681EEF">
              <w:rPr>
                <w:rFonts w:hAnsi="Times New Roman" w:cs="Times New Roman"/>
              </w:rPr>
              <w:t xml:space="preserve"> presente la renuncia de su candidato ante el Instituto, corresponderá a éste notificar tal circunstancia al candidato o candidata de forma personal dentro de las cuarenta y ocho horas siguientes a la presentación de la renuncia, solicitándole comparezca personalmente y con identificación oficial ante el Secretario Ejecutivo del Instituto, para que en un término de cuarenta y ocho </w:t>
            </w:r>
            <w:r w:rsidRPr="00681EEF">
              <w:rPr>
                <w:rFonts w:hAnsi="Times New Roman" w:cs="Times New Roman"/>
              </w:rPr>
              <w:lastRenderedPageBreak/>
              <w:t>horas siguientes a su notificación, manifieste lo que a su derecho e interés convenga o para que ratifique el escrito de renuncia; de ratificarse la renuncia, en un término no mayor a cinco días, el partido político, coalición o candidatura común, deberá proceder a la sustitución correspondiente.</w:t>
            </w:r>
          </w:p>
        </w:tc>
      </w:tr>
      <w:tr w:rsidR="00837807" w:rsidRPr="00681EEF" w14:paraId="2FF85713" w14:textId="77777777" w:rsidTr="00837807">
        <w:tc>
          <w:tcPr>
            <w:tcW w:w="1170" w:type="dxa"/>
          </w:tcPr>
          <w:p w14:paraId="36CA078C" w14:textId="77777777" w:rsidR="00837807" w:rsidRPr="00681EEF" w:rsidRDefault="00837807" w:rsidP="00837807">
            <w:pPr>
              <w:jc w:val="both"/>
              <w:rPr>
                <w:rFonts w:hAnsi="Times New Roman" w:cs="Times New Roman"/>
              </w:rPr>
            </w:pPr>
            <w:r w:rsidRPr="00681EEF">
              <w:rPr>
                <w:rFonts w:hAnsi="Times New Roman" w:cs="Times New Roman"/>
              </w:rPr>
              <w:lastRenderedPageBreak/>
              <w:t>29</w:t>
            </w:r>
          </w:p>
        </w:tc>
        <w:tc>
          <w:tcPr>
            <w:tcW w:w="1548" w:type="dxa"/>
          </w:tcPr>
          <w:p w14:paraId="7F9055CE" w14:textId="77777777" w:rsidR="00837807" w:rsidRPr="00681EEF" w:rsidRDefault="00837807" w:rsidP="00837807">
            <w:pPr>
              <w:jc w:val="both"/>
              <w:rPr>
                <w:rFonts w:hAnsi="Times New Roman" w:cs="Times New Roman"/>
              </w:rPr>
            </w:pPr>
            <w:r w:rsidRPr="00681EEF">
              <w:rPr>
                <w:rFonts w:hAnsi="Times New Roman" w:cs="Times New Roman"/>
              </w:rPr>
              <w:t>Veracruz</w:t>
            </w:r>
          </w:p>
        </w:tc>
        <w:tc>
          <w:tcPr>
            <w:tcW w:w="1388" w:type="dxa"/>
          </w:tcPr>
          <w:p w14:paraId="5F38B8C5" w14:textId="77777777" w:rsidR="00837807" w:rsidRPr="00681EEF" w:rsidRDefault="00837807" w:rsidP="00837807">
            <w:pPr>
              <w:jc w:val="both"/>
              <w:rPr>
                <w:rFonts w:hAnsi="Times New Roman" w:cs="Times New Roman"/>
              </w:rPr>
            </w:pPr>
            <w:r w:rsidRPr="00681EEF">
              <w:rPr>
                <w:rFonts w:hAnsi="Times New Roman" w:cs="Times New Roman"/>
              </w:rPr>
              <w:t>Código Electoral para el Estado de Veracruz de Ignacio de la Llave</w:t>
            </w:r>
          </w:p>
        </w:tc>
        <w:tc>
          <w:tcPr>
            <w:tcW w:w="4961" w:type="dxa"/>
          </w:tcPr>
          <w:p w14:paraId="1E153E00" w14:textId="77777777" w:rsidR="00837807" w:rsidRPr="00681EEF" w:rsidRDefault="00837807" w:rsidP="00837807">
            <w:pPr>
              <w:jc w:val="both"/>
              <w:rPr>
                <w:rFonts w:hAnsi="Times New Roman" w:cs="Times New Roman"/>
              </w:rPr>
            </w:pPr>
            <w:r w:rsidRPr="00681EEF">
              <w:rPr>
                <w:rFonts w:hAnsi="Times New Roman" w:cs="Times New Roman"/>
              </w:rPr>
              <w:t>No lo contempla.</w:t>
            </w:r>
          </w:p>
        </w:tc>
      </w:tr>
      <w:tr w:rsidR="00837807" w:rsidRPr="00681EEF" w14:paraId="0E555530" w14:textId="77777777" w:rsidTr="00837807">
        <w:tc>
          <w:tcPr>
            <w:tcW w:w="1170" w:type="dxa"/>
          </w:tcPr>
          <w:p w14:paraId="65313BE8" w14:textId="77777777" w:rsidR="00837807" w:rsidRPr="00681EEF" w:rsidRDefault="00837807" w:rsidP="00837807">
            <w:pPr>
              <w:jc w:val="both"/>
              <w:rPr>
                <w:rFonts w:hAnsi="Times New Roman" w:cs="Times New Roman"/>
              </w:rPr>
            </w:pPr>
            <w:r w:rsidRPr="00681EEF">
              <w:rPr>
                <w:rFonts w:hAnsi="Times New Roman" w:cs="Times New Roman"/>
              </w:rPr>
              <w:t>30</w:t>
            </w:r>
          </w:p>
        </w:tc>
        <w:tc>
          <w:tcPr>
            <w:tcW w:w="1548" w:type="dxa"/>
          </w:tcPr>
          <w:p w14:paraId="2CD4227A" w14:textId="77777777" w:rsidR="00837807" w:rsidRPr="00681EEF" w:rsidRDefault="00837807" w:rsidP="00837807">
            <w:pPr>
              <w:jc w:val="both"/>
              <w:rPr>
                <w:rFonts w:hAnsi="Times New Roman" w:cs="Times New Roman"/>
              </w:rPr>
            </w:pPr>
            <w:r w:rsidRPr="00681EEF">
              <w:rPr>
                <w:rFonts w:hAnsi="Times New Roman" w:cs="Times New Roman"/>
              </w:rPr>
              <w:t>Yucatán</w:t>
            </w:r>
          </w:p>
        </w:tc>
        <w:tc>
          <w:tcPr>
            <w:tcW w:w="1388" w:type="dxa"/>
          </w:tcPr>
          <w:p w14:paraId="613B6B13" w14:textId="77777777" w:rsidR="00837807" w:rsidRPr="00681EEF" w:rsidRDefault="00837807" w:rsidP="00837807">
            <w:pPr>
              <w:jc w:val="both"/>
              <w:rPr>
                <w:rFonts w:hAnsi="Times New Roman" w:cs="Times New Roman"/>
              </w:rPr>
            </w:pPr>
            <w:r w:rsidRPr="00681EEF">
              <w:rPr>
                <w:rFonts w:hAnsi="Times New Roman" w:cs="Times New Roman"/>
              </w:rPr>
              <w:t>Ley de Instituciones y Procedimientos Electorales del Estado de Yucatán</w:t>
            </w:r>
          </w:p>
        </w:tc>
        <w:tc>
          <w:tcPr>
            <w:tcW w:w="4961" w:type="dxa"/>
          </w:tcPr>
          <w:p w14:paraId="072A422D" w14:textId="77777777" w:rsidR="00837807" w:rsidRPr="00681EEF" w:rsidRDefault="00837807" w:rsidP="00837807">
            <w:pPr>
              <w:jc w:val="both"/>
              <w:rPr>
                <w:rFonts w:hAnsi="Times New Roman" w:cs="Times New Roman"/>
              </w:rPr>
            </w:pPr>
          </w:p>
          <w:p w14:paraId="62666C4B" w14:textId="4430B331" w:rsidR="00837807" w:rsidRPr="00681EEF" w:rsidRDefault="00837807" w:rsidP="00733FFE">
            <w:pPr>
              <w:jc w:val="both"/>
              <w:rPr>
                <w:rFonts w:hAnsi="Times New Roman" w:cs="Times New Roman"/>
              </w:rPr>
            </w:pPr>
            <w:r w:rsidRPr="00681EEF">
              <w:rPr>
                <w:rFonts w:hAnsi="Times New Roman" w:cs="Times New Roman"/>
                <w:b/>
              </w:rPr>
              <w:t>Artículo 373.</w:t>
            </w:r>
            <w:r w:rsidRPr="00681EEF">
              <w:rPr>
                <w:rFonts w:hAnsi="Times New Roman" w:cs="Times New Roman"/>
              </w:rPr>
              <w:t xml:space="preserve"> </w:t>
            </w:r>
            <w:r w:rsidR="00733FFE">
              <w:rPr>
                <w:rFonts w:hAnsi="Times New Roman" w:cs="Times New Roman"/>
              </w:rPr>
              <w:t>…</w:t>
            </w:r>
            <w:r w:rsidRPr="00681EEF">
              <w:rPr>
                <w:rFonts w:hAnsi="Times New Roman" w:cs="Times New Roman"/>
              </w:rPr>
              <w:t xml:space="preserve">III. Las y los aspirantes, precandidatas y precandidatos, así como aquellas personas postuladas a una candidatura por un partido político, coalición, en </w:t>
            </w:r>
            <w:r w:rsidRPr="00681EEF">
              <w:rPr>
                <w:rFonts w:hAnsi="Times New Roman" w:cs="Times New Roman"/>
                <w:b/>
                <w:u w:val="single"/>
              </w:rPr>
              <w:t>candidatura común</w:t>
            </w:r>
            <w:r w:rsidRPr="00681EEF">
              <w:rPr>
                <w:rFonts w:hAnsi="Times New Roman" w:cs="Times New Roman"/>
              </w:rPr>
              <w:t xml:space="preserve"> y candidaturas independientes a cargos de elección popular;</w:t>
            </w:r>
          </w:p>
        </w:tc>
      </w:tr>
      <w:tr w:rsidR="00837807" w:rsidRPr="00681EEF" w14:paraId="33C7C3A5" w14:textId="77777777" w:rsidTr="00837807">
        <w:tc>
          <w:tcPr>
            <w:tcW w:w="1170" w:type="dxa"/>
          </w:tcPr>
          <w:p w14:paraId="7AB1C10A" w14:textId="77777777" w:rsidR="00837807" w:rsidRPr="00681EEF" w:rsidRDefault="00837807" w:rsidP="00837807">
            <w:pPr>
              <w:jc w:val="both"/>
              <w:rPr>
                <w:rFonts w:hAnsi="Times New Roman" w:cs="Times New Roman"/>
              </w:rPr>
            </w:pPr>
            <w:r w:rsidRPr="00681EEF">
              <w:rPr>
                <w:rFonts w:hAnsi="Times New Roman" w:cs="Times New Roman"/>
              </w:rPr>
              <w:t>31</w:t>
            </w:r>
          </w:p>
        </w:tc>
        <w:tc>
          <w:tcPr>
            <w:tcW w:w="1548" w:type="dxa"/>
          </w:tcPr>
          <w:p w14:paraId="10479C17" w14:textId="77777777" w:rsidR="00837807" w:rsidRPr="00681EEF" w:rsidRDefault="00837807" w:rsidP="00837807">
            <w:pPr>
              <w:jc w:val="both"/>
              <w:rPr>
                <w:rFonts w:hAnsi="Times New Roman" w:cs="Times New Roman"/>
              </w:rPr>
            </w:pPr>
            <w:r w:rsidRPr="00681EEF">
              <w:rPr>
                <w:rFonts w:hAnsi="Times New Roman" w:cs="Times New Roman"/>
              </w:rPr>
              <w:t>Zacatecas</w:t>
            </w:r>
          </w:p>
        </w:tc>
        <w:tc>
          <w:tcPr>
            <w:tcW w:w="1388" w:type="dxa"/>
          </w:tcPr>
          <w:p w14:paraId="263BD0C9" w14:textId="77777777" w:rsidR="00837807" w:rsidRPr="00681EEF" w:rsidRDefault="00837807" w:rsidP="00837807">
            <w:pPr>
              <w:jc w:val="both"/>
              <w:rPr>
                <w:rFonts w:hAnsi="Times New Roman" w:cs="Times New Roman"/>
              </w:rPr>
            </w:pPr>
            <w:r w:rsidRPr="00681EEF">
              <w:rPr>
                <w:rFonts w:hAnsi="Times New Roman" w:cs="Times New Roman"/>
              </w:rPr>
              <w:t>Ley Electoral del Estado de Zacatecas</w:t>
            </w:r>
          </w:p>
        </w:tc>
        <w:tc>
          <w:tcPr>
            <w:tcW w:w="4961" w:type="dxa"/>
          </w:tcPr>
          <w:p w14:paraId="5FC56BDC" w14:textId="77777777" w:rsidR="00837807" w:rsidRPr="00681EEF" w:rsidRDefault="00837807" w:rsidP="00837807">
            <w:pPr>
              <w:jc w:val="both"/>
              <w:rPr>
                <w:rFonts w:hAnsi="Times New Roman" w:cs="Times New Roman"/>
              </w:rPr>
            </w:pPr>
            <w:r w:rsidRPr="00681EEF">
              <w:rPr>
                <w:rFonts w:hAnsi="Times New Roman" w:cs="Times New Roman"/>
              </w:rPr>
              <w:t>No lo contempla</w:t>
            </w:r>
          </w:p>
        </w:tc>
      </w:tr>
    </w:tbl>
    <w:p w14:paraId="1FF7E57E" w14:textId="34AC459E" w:rsidR="00543629" w:rsidRPr="00CD5A7D" w:rsidRDefault="00543629" w:rsidP="008E5000">
      <w:pPr>
        <w:pStyle w:val="Cuerpo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06"/>
        </w:tabs>
        <w:spacing w:line="360" w:lineRule="auto"/>
        <w:jc w:val="both"/>
        <w:rPr>
          <w:rFonts w:ascii="Times New Roman" w:eastAsia="Arial" w:hAnsi="Times New Roman" w:cs="Times New Roman"/>
        </w:rPr>
      </w:pPr>
    </w:p>
    <w:p w14:paraId="042BC86D" w14:textId="77777777" w:rsidR="00D60DC3" w:rsidRPr="00CD5A7D" w:rsidRDefault="00543629" w:rsidP="00CD5A7D">
      <w:pPr>
        <w:pStyle w:val="Prrafodelista"/>
        <w:spacing w:line="360" w:lineRule="auto"/>
        <w:jc w:val="both"/>
        <w:outlineLvl w:val="0"/>
        <w:rPr>
          <w:rFonts w:eastAsia="Arial" w:hAnsi="Times New Roman" w:cs="Times New Roman"/>
        </w:rPr>
      </w:pPr>
      <w:r w:rsidRPr="00CD5A7D">
        <w:rPr>
          <w:rFonts w:eastAsia="Arial" w:hAnsi="Times New Roman" w:cs="Times New Roman"/>
          <w:b/>
        </w:rPr>
        <w:t>Conclusión</w:t>
      </w:r>
    </w:p>
    <w:p w14:paraId="1EB4B32C" w14:textId="77777777" w:rsidR="00D60DC3" w:rsidRPr="00CD5A7D" w:rsidRDefault="00D60DC3" w:rsidP="00CD5A7D">
      <w:pPr>
        <w:pStyle w:val="Prrafodelista"/>
        <w:spacing w:line="360" w:lineRule="auto"/>
        <w:jc w:val="both"/>
        <w:rPr>
          <w:rFonts w:hAnsi="Times New Roman" w:cs="Times New Roman"/>
        </w:rPr>
      </w:pPr>
      <w:r w:rsidRPr="00CD5A7D">
        <w:rPr>
          <w:rFonts w:hAnsi="Times New Roman" w:cs="Times New Roman"/>
        </w:rPr>
        <w:t>Como se puede apreciar, el poder reformador f</w:t>
      </w:r>
      <w:r w:rsidR="00543629" w:rsidRPr="00CD5A7D">
        <w:rPr>
          <w:rFonts w:hAnsi="Times New Roman" w:cs="Times New Roman"/>
        </w:rPr>
        <w:t>ederal, le confiere la facultad a las legislaturas locales, para establecer en s</w:t>
      </w:r>
      <w:r w:rsidRPr="00CD5A7D">
        <w:rPr>
          <w:rFonts w:hAnsi="Times New Roman" w:cs="Times New Roman"/>
        </w:rPr>
        <w:t>us c</w:t>
      </w:r>
      <w:r w:rsidR="00543629" w:rsidRPr="00CD5A7D">
        <w:rPr>
          <w:rFonts w:hAnsi="Times New Roman" w:cs="Times New Roman"/>
        </w:rPr>
        <w:t>onstituciones</w:t>
      </w:r>
      <w:r w:rsidRPr="00CD5A7D">
        <w:rPr>
          <w:rFonts w:hAnsi="Times New Roman" w:cs="Times New Roman"/>
        </w:rPr>
        <w:t xml:space="preserve"> locales</w:t>
      </w:r>
      <w:r w:rsidR="00543629" w:rsidRPr="00CD5A7D">
        <w:rPr>
          <w:rFonts w:hAnsi="Times New Roman" w:cs="Times New Roman"/>
        </w:rPr>
        <w:t xml:space="preserve">, otras formas de participación o asociación de los partidos políticos, para la postulación de candidatos. </w:t>
      </w:r>
    </w:p>
    <w:p w14:paraId="154A73F5" w14:textId="77777777" w:rsidR="00D60DC3" w:rsidRPr="00CD5A7D" w:rsidRDefault="00D60DC3" w:rsidP="00CD5A7D">
      <w:pPr>
        <w:pStyle w:val="Prrafodelista"/>
        <w:spacing w:line="360" w:lineRule="auto"/>
        <w:jc w:val="both"/>
        <w:rPr>
          <w:rFonts w:hAnsi="Times New Roman" w:cs="Times New Roman"/>
        </w:rPr>
      </w:pPr>
    </w:p>
    <w:p w14:paraId="644F30BA" w14:textId="77777777" w:rsidR="00543629" w:rsidRPr="00CD5A7D" w:rsidRDefault="00D60DC3" w:rsidP="00CD5A7D">
      <w:pPr>
        <w:pStyle w:val="Prrafodelista"/>
        <w:spacing w:line="360" w:lineRule="auto"/>
        <w:jc w:val="both"/>
        <w:rPr>
          <w:rFonts w:hAnsi="Times New Roman" w:cs="Times New Roman"/>
        </w:rPr>
      </w:pPr>
      <w:r w:rsidRPr="00CD5A7D">
        <w:rPr>
          <w:rFonts w:hAnsi="Times New Roman" w:cs="Times New Roman"/>
        </w:rPr>
        <w:t>P</w:t>
      </w:r>
      <w:r w:rsidR="00543629" w:rsidRPr="00CD5A7D">
        <w:rPr>
          <w:rFonts w:hAnsi="Times New Roman" w:cs="Times New Roman"/>
        </w:rPr>
        <w:t xml:space="preserve">or lo que respecta a la armonización de la normativa </w:t>
      </w:r>
      <w:r w:rsidRPr="00CD5A7D">
        <w:rPr>
          <w:rFonts w:hAnsi="Times New Roman" w:cs="Times New Roman"/>
        </w:rPr>
        <w:t>e</w:t>
      </w:r>
      <w:r w:rsidR="00543629" w:rsidRPr="00CD5A7D">
        <w:rPr>
          <w:rFonts w:hAnsi="Times New Roman" w:cs="Times New Roman"/>
        </w:rPr>
        <w:t xml:space="preserve">statal, el legislador previó en el artículo 59 del Código de Instituciones y Procesos Electorales de Morelos, la </w:t>
      </w:r>
      <w:r w:rsidR="00543629" w:rsidRPr="00CD5A7D">
        <w:rPr>
          <w:rFonts w:hAnsi="Times New Roman" w:cs="Times New Roman"/>
          <w:b/>
          <w:i/>
        </w:rPr>
        <w:t xml:space="preserve">Candidatura Común, </w:t>
      </w:r>
      <w:r w:rsidR="00543629" w:rsidRPr="00CD5A7D">
        <w:rPr>
          <w:rFonts w:hAnsi="Times New Roman" w:cs="Times New Roman"/>
        </w:rPr>
        <w:t>como una forma específica de participación o asociación de los partidos políticos en el proceso electoral para postular candidatos; sin embargo, el legislador omite incluir en nuestra Constitución Política local, la citada candidatura común.</w:t>
      </w:r>
    </w:p>
    <w:p w14:paraId="4D0D4EA6" w14:textId="77777777" w:rsidR="00D60DC3" w:rsidRPr="00CD5A7D" w:rsidRDefault="00D60DC3" w:rsidP="00CD5A7D">
      <w:pPr>
        <w:pStyle w:val="Prrafodelista"/>
        <w:spacing w:line="360" w:lineRule="auto"/>
        <w:jc w:val="both"/>
        <w:rPr>
          <w:rFonts w:hAnsi="Times New Roman" w:cs="Times New Roman"/>
        </w:rPr>
      </w:pPr>
    </w:p>
    <w:p w14:paraId="128F128B" w14:textId="0C910824" w:rsidR="00543629" w:rsidRPr="00CD5A7D" w:rsidRDefault="00543629" w:rsidP="00CD5A7D">
      <w:pPr>
        <w:pStyle w:val="Prrafodelista"/>
        <w:spacing w:line="360" w:lineRule="auto"/>
        <w:jc w:val="both"/>
        <w:rPr>
          <w:rFonts w:hAnsi="Times New Roman" w:cs="Times New Roman"/>
        </w:rPr>
      </w:pPr>
      <w:r w:rsidRPr="00CD5A7D">
        <w:rPr>
          <w:rFonts w:hAnsi="Times New Roman" w:cs="Times New Roman"/>
        </w:rPr>
        <w:lastRenderedPageBreak/>
        <w:t>Cabe destacar que el simple hecho de que se incluy</w:t>
      </w:r>
      <w:r w:rsidR="00D60DC3" w:rsidRPr="00CD5A7D">
        <w:rPr>
          <w:rFonts w:hAnsi="Times New Roman" w:cs="Times New Roman"/>
        </w:rPr>
        <w:t>era la candidatura común en el código e</w:t>
      </w:r>
      <w:r w:rsidRPr="00CD5A7D">
        <w:rPr>
          <w:rFonts w:hAnsi="Times New Roman" w:cs="Times New Roman"/>
        </w:rPr>
        <w:t xml:space="preserve">lectoral, bastó para que fuera considerada de observancia y aplicación general, propiciando diversas opiniones respecto a la implementación de esta figura de participación o asociación de los partidos para postular candidatos, algunas en contra, otras a favor; ello favoreció el planteamiento desde nuestra óptica, de la inviabilidad de dicha figura sea considerada como otra forma de participación o asociación, por no encontrarse prevista en la Constitución Política local; </w:t>
      </w:r>
      <w:r w:rsidR="00D60DC3" w:rsidRPr="00CD5A7D">
        <w:rPr>
          <w:rFonts w:hAnsi="Times New Roman" w:cs="Times New Roman"/>
        </w:rPr>
        <w:t>por no contar con el andamiaje legal que</w:t>
      </w:r>
      <w:r w:rsidRPr="00CD5A7D">
        <w:rPr>
          <w:rFonts w:hAnsi="Times New Roman" w:cs="Times New Roman"/>
        </w:rPr>
        <w:t xml:space="preserve"> regule el procedimiento para postular candidatos comunes; ello a consideración nuestra</w:t>
      </w:r>
      <w:r w:rsidR="00D60DC3" w:rsidRPr="00CD5A7D">
        <w:rPr>
          <w:rFonts w:hAnsi="Times New Roman" w:cs="Times New Roman"/>
        </w:rPr>
        <w:t>,</w:t>
      </w:r>
      <w:r w:rsidRPr="00CD5A7D">
        <w:rPr>
          <w:rFonts w:hAnsi="Times New Roman" w:cs="Times New Roman"/>
        </w:rPr>
        <w:t xml:space="preserve"> transgrede el principio de legalidad, igualdad, equidad y certeza</w:t>
      </w:r>
      <w:r w:rsidR="00D60DC3" w:rsidRPr="00CD5A7D">
        <w:rPr>
          <w:rFonts w:hAnsi="Times New Roman" w:cs="Times New Roman"/>
        </w:rPr>
        <w:t xml:space="preserve">, por tanto, consideramos viable la derogación de esta figura de participación de los partidos </w:t>
      </w:r>
      <w:r w:rsidR="00837807" w:rsidRPr="00CD5A7D">
        <w:rPr>
          <w:rFonts w:hAnsi="Times New Roman" w:cs="Times New Roman"/>
        </w:rPr>
        <w:t>políticos</w:t>
      </w:r>
      <w:r w:rsidR="00D60DC3" w:rsidRPr="00CD5A7D">
        <w:rPr>
          <w:rFonts w:hAnsi="Times New Roman" w:cs="Times New Roman"/>
        </w:rPr>
        <w:t xml:space="preserve"> dentro de los procesos electorales por considerar que no se ajustan a los principios rectores que rigen la función electoral.</w:t>
      </w:r>
    </w:p>
    <w:p w14:paraId="10B4A261" w14:textId="77777777" w:rsidR="008E5000" w:rsidRDefault="008E5000" w:rsidP="00CD5A7D">
      <w:pPr>
        <w:pStyle w:val="Prrafodelista"/>
        <w:spacing w:line="360" w:lineRule="auto"/>
        <w:jc w:val="both"/>
        <w:rPr>
          <w:rFonts w:hAnsi="Times New Roman" w:cs="Times New Roman"/>
        </w:rPr>
      </w:pPr>
    </w:p>
    <w:p w14:paraId="15C728FA" w14:textId="5DD35D71" w:rsidR="00D60DC3" w:rsidRPr="00CD5A7D" w:rsidRDefault="00D60DC3" w:rsidP="00CD5A7D">
      <w:pPr>
        <w:pStyle w:val="Prrafodelista"/>
        <w:spacing w:line="360" w:lineRule="auto"/>
        <w:jc w:val="both"/>
        <w:rPr>
          <w:rFonts w:hAnsi="Times New Roman" w:cs="Times New Roman"/>
        </w:rPr>
      </w:pPr>
      <w:r w:rsidRPr="00CD5A7D">
        <w:rPr>
          <w:rFonts w:hAnsi="Times New Roman" w:cs="Times New Roman"/>
        </w:rPr>
        <w:t xml:space="preserve">Equidad, implica un trato en igualdad de circunstancias para todos; sin embargo, aligerar los requisitos para postular candidatos a unos, y rigidizar los mismos a otros, </w:t>
      </w:r>
      <w:r w:rsidR="00245F4D" w:rsidRPr="00CD5A7D">
        <w:rPr>
          <w:rFonts w:hAnsi="Times New Roman" w:cs="Times New Roman"/>
        </w:rPr>
        <w:t>resulta totalmente inequitativo.</w:t>
      </w:r>
    </w:p>
    <w:p w14:paraId="41516915" w14:textId="77777777" w:rsidR="00837807" w:rsidRDefault="00837807" w:rsidP="00837807">
      <w:pPr>
        <w:jc w:val="both"/>
        <w:rPr>
          <w:rFonts w:hAnsi="Times New Roman" w:cs="Times New Roman"/>
          <w:b/>
        </w:rPr>
      </w:pPr>
    </w:p>
    <w:p w14:paraId="1DD18B7C" w14:textId="09CABA15" w:rsidR="00837807" w:rsidRPr="006613C3" w:rsidRDefault="00837807" w:rsidP="00837807">
      <w:pPr>
        <w:jc w:val="both"/>
        <w:rPr>
          <w:rFonts w:hAnsi="Times New Roman" w:cs="Times New Roman"/>
          <w:b/>
        </w:rPr>
      </w:pPr>
      <w:r w:rsidRPr="006613C3">
        <w:rPr>
          <w:rFonts w:hAnsi="Times New Roman" w:cs="Times New Roman"/>
          <w:b/>
        </w:rPr>
        <w:t>Bibliografía</w:t>
      </w:r>
    </w:p>
    <w:p w14:paraId="0AE0C6C7" w14:textId="77777777" w:rsidR="00837807" w:rsidRPr="006613C3" w:rsidRDefault="00837807" w:rsidP="00837807">
      <w:pPr>
        <w:jc w:val="both"/>
        <w:rPr>
          <w:rFonts w:hAnsi="Times New Roman" w:cs="Times New Roman"/>
        </w:rPr>
      </w:pPr>
    </w:p>
    <w:p w14:paraId="6C3672A4"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proofErr w:type="spellStart"/>
      <w:r w:rsidRPr="006613C3">
        <w:rPr>
          <w:rFonts w:hAnsi="Times New Roman" w:cs="Times New Roman"/>
        </w:rPr>
        <w:t>Bobbio</w:t>
      </w:r>
      <w:proofErr w:type="spellEnd"/>
      <w:r w:rsidRPr="006613C3">
        <w:rPr>
          <w:rFonts w:hAnsi="Times New Roman" w:cs="Times New Roman"/>
        </w:rPr>
        <w:t xml:space="preserve"> Norberto. 1989. Liberalismo y democracia. Fondo de Cultura Económica, México.</w:t>
      </w:r>
    </w:p>
    <w:p w14:paraId="7FD9002D" w14:textId="77777777" w:rsidR="00837807" w:rsidRPr="006613C3" w:rsidRDefault="00837807" w:rsidP="00837807">
      <w:pPr>
        <w:pStyle w:val="Prrafodelista"/>
        <w:jc w:val="both"/>
        <w:rPr>
          <w:rFonts w:hAnsi="Times New Roman" w:cs="Times New Roman"/>
        </w:rPr>
      </w:pPr>
    </w:p>
    <w:p w14:paraId="42E8AF44"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proofErr w:type="spellStart"/>
      <w:r w:rsidRPr="006613C3">
        <w:rPr>
          <w:rFonts w:hAnsi="Times New Roman" w:cs="Times New Roman"/>
        </w:rPr>
        <w:t>Bobbio</w:t>
      </w:r>
      <w:proofErr w:type="spellEnd"/>
      <w:r w:rsidRPr="006613C3">
        <w:rPr>
          <w:rFonts w:hAnsi="Times New Roman" w:cs="Times New Roman"/>
        </w:rPr>
        <w:t xml:space="preserve"> Norberto. 1999. El futuro de la democracia. Fondo de Cultura Económica, México.</w:t>
      </w:r>
    </w:p>
    <w:p w14:paraId="73989359" w14:textId="77777777" w:rsidR="00837807" w:rsidRPr="006613C3" w:rsidRDefault="00837807" w:rsidP="00837807">
      <w:pPr>
        <w:pStyle w:val="Prrafodelista"/>
        <w:rPr>
          <w:rFonts w:hAnsi="Times New Roman" w:cs="Times New Roman"/>
        </w:rPr>
      </w:pPr>
    </w:p>
    <w:p w14:paraId="3F59C0C2"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Colomer Joseph. 2000. Algunas sugerencias sobre reformas constitucionales para la consolidación de la democracia en México, documento de trabajo presentado a la Comisión de Estudios para la Reforma del Estado, citado por Iturriaga Juan Cristián en el documento Formula Electoral para comicios de Jefe de Estado.</w:t>
      </w:r>
    </w:p>
    <w:p w14:paraId="71449D07" w14:textId="77777777" w:rsidR="00837807" w:rsidRPr="006613C3" w:rsidRDefault="00837807" w:rsidP="00837807">
      <w:pPr>
        <w:pStyle w:val="Prrafodelista"/>
        <w:rPr>
          <w:rFonts w:hAnsi="Times New Roman" w:cs="Times New Roman"/>
        </w:rPr>
      </w:pPr>
    </w:p>
    <w:p w14:paraId="70490B7A"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 xml:space="preserve">Collí </w:t>
      </w:r>
      <w:proofErr w:type="spellStart"/>
      <w:r w:rsidRPr="006613C3">
        <w:rPr>
          <w:rFonts w:hAnsi="Times New Roman" w:cs="Times New Roman"/>
        </w:rPr>
        <w:t>Ek</w:t>
      </w:r>
      <w:proofErr w:type="spellEnd"/>
      <w:r w:rsidRPr="006613C3">
        <w:rPr>
          <w:rFonts w:hAnsi="Times New Roman" w:cs="Times New Roman"/>
        </w:rPr>
        <w:t xml:space="preserve"> Víctor Manuel, Investigador de la Universidad Autónoma de Campeche. 2014. “¿Cómo entiende la Corte los Derechos Humanos?”.</w:t>
      </w:r>
    </w:p>
    <w:p w14:paraId="3D4A43ED" w14:textId="77777777" w:rsidR="00837807" w:rsidRPr="006613C3" w:rsidRDefault="00837807" w:rsidP="00837807">
      <w:pPr>
        <w:ind w:left="360"/>
        <w:rPr>
          <w:rFonts w:hAnsi="Times New Roman" w:cs="Times New Roman"/>
        </w:rPr>
      </w:pPr>
    </w:p>
    <w:p w14:paraId="651CB7A2"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 xml:space="preserve">Contreras Bustamante Raúl. 2013.  La crisis de la partidocracia en México. </w:t>
      </w:r>
    </w:p>
    <w:p w14:paraId="19BDA835" w14:textId="77777777" w:rsidR="00837807" w:rsidRPr="006613C3" w:rsidRDefault="00837807" w:rsidP="00837807">
      <w:pPr>
        <w:pStyle w:val="Prrafodelista"/>
        <w:rPr>
          <w:rFonts w:hAnsi="Times New Roman" w:cs="Times New Roman"/>
        </w:rPr>
      </w:pPr>
    </w:p>
    <w:p w14:paraId="1BEAB161"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Delgado del Rincón Luis E, Profesor Titular de Derecho Constitucional, Universidad de Burgos. El Principio de Equidad en la Contienda Electoral y la Libertad de Expresión de los Precandidatos Únicos en Precampaña Electoral.</w:t>
      </w:r>
    </w:p>
    <w:p w14:paraId="15A38B97" w14:textId="77777777" w:rsidR="00837807" w:rsidRPr="006613C3" w:rsidRDefault="00837807" w:rsidP="00837807">
      <w:pPr>
        <w:pStyle w:val="Prrafodelista"/>
        <w:rPr>
          <w:rFonts w:hAnsi="Times New Roman" w:cs="Times New Roman"/>
        </w:rPr>
      </w:pPr>
    </w:p>
    <w:p w14:paraId="3E2EDFEB"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 xml:space="preserve">Derecho Electoral Mexicano.  Libro de </w:t>
      </w:r>
      <w:proofErr w:type="gramStart"/>
      <w:r w:rsidRPr="006613C3">
        <w:rPr>
          <w:rFonts w:hAnsi="Times New Roman" w:cs="Times New Roman"/>
        </w:rPr>
        <w:t>texto,  Centro</w:t>
      </w:r>
      <w:proofErr w:type="gramEnd"/>
      <w:r w:rsidRPr="006613C3">
        <w:rPr>
          <w:rFonts w:hAnsi="Times New Roman" w:cs="Times New Roman"/>
        </w:rPr>
        <w:t xml:space="preserve"> de Capacitación Judicial Electoral. </w:t>
      </w:r>
    </w:p>
    <w:p w14:paraId="27511FD3" w14:textId="77777777" w:rsidR="00837807" w:rsidRPr="006613C3" w:rsidRDefault="00837807" w:rsidP="00837807">
      <w:pPr>
        <w:pStyle w:val="Prrafodelista"/>
        <w:rPr>
          <w:rFonts w:hAnsi="Times New Roman" w:cs="Times New Roman"/>
        </w:rPr>
      </w:pPr>
    </w:p>
    <w:p w14:paraId="6E3EB93E"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proofErr w:type="spellStart"/>
      <w:r w:rsidRPr="006613C3">
        <w:rPr>
          <w:rFonts w:hAnsi="Times New Roman" w:cs="Times New Roman"/>
        </w:rPr>
        <w:t>Duverger</w:t>
      </w:r>
      <w:proofErr w:type="spellEnd"/>
      <w:r w:rsidRPr="006613C3">
        <w:rPr>
          <w:rFonts w:hAnsi="Times New Roman" w:cs="Times New Roman"/>
        </w:rPr>
        <w:t xml:space="preserve"> Maurice, 1992. Influencia de los Sistemas Electorales, en diez textos Básicos de Ciencia Política. Barcelona, Ariel Ciencia. </w:t>
      </w:r>
    </w:p>
    <w:p w14:paraId="77556652" w14:textId="77777777" w:rsidR="00837807" w:rsidRPr="006613C3" w:rsidRDefault="00837807" w:rsidP="00837807">
      <w:pPr>
        <w:pStyle w:val="Prrafodelista"/>
        <w:rPr>
          <w:rFonts w:hAnsi="Times New Roman" w:cs="Times New Roman"/>
        </w:rPr>
      </w:pPr>
    </w:p>
    <w:p w14:paraId="22436016"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Equidad en la Contienda Electoral. Criterios Jurisprudenciales. Tribunal Electoral del Poder Judicial de la Federación.</w:t>
      </w:r>
    </w:p>
    <w:p w14:paraId="0DC9EF0E" w14:textId="77777777" w:rsidR="00837807" w:rsidRPr="006613C3" w:rsidRDefault="00837807" w:rsidP="00837807">
      <w:pPr>
        <w:pStyle w:val="Prrafodelista"/>
        <w:rPr>
          <w:rFonts w:hAnsi="Times New Roman" w:cs="Times New Roman"/>
        </w:rPr>
      </w:pPr>
    </w:p>
    <w:p w14:paraId="16E4B55E"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 xml:space="preserve"> Galván Rivera </w:t>
      </w:r>
      <w:proofErr w:type="gramStart"/>
      <w:r w:rsidRPr="006613C3">
        <w:rPr>
          <w:rFonts w:hAnsi="Times New Roman" w:cs="Times New Roman"/>
        </w:rPr>
        <w:t>Flavio,  Magistrado</w:t>
      </w:r>
      <w:proofErr w:type="gramEnd"/>
      <w:r w:rsidRPr="006613C3">
        <w:rPr>
          <w:rFonts w:hAnsi="Times New Roman" w:cs="Times New Roman"/>
        </w:rPr>
        <w:t xml:space="preserve"> de la Sala Superior del Tribunal Electoral del Poder Judicial de la Federación, Conferencia disertada por invitación del Tribunal Electoral del Estado de Guerrero. 2008. Equidad en la Contienda Electoral.  Auditorio “Sentimientos de la Nación”, Chilpancingo de los Bravo, Guerrero.</w:t>
      </w:r>
    </w:p>
    <w:p w14:paraId="5F0EA359" w14:textId="77777777" w:rsidR="00837807" w:rsidRPr="006613C3" w:rsidRDefault="00837807" w:rsidP="00837807">
      <w:pPr>
        <w:pStyle w:val="Prrafodelista"/>
        <w:rPr>
          <w:rFonts w:hAnsi="Times New Roman" w:cs="Times New Roman"/>
        </w:rPr>
      </w:pPr>
    </w:p>
    <w:p w14:paraId="4F9D831E"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 xml:space="preserve">García </w:t>
      </w:r>
      <w:proofErr w:type="spellStart"/>
      <w:r w:rsidRPr="006613C3">
        <w:rPr>
          <w:rFonts w:hAnsi="Times New Roman" w:cs="Times New Roman"/>
        </w:rPr>
        <w:t>Laguardia</w:t>
      </w:r>
      <w:proofErr w:type="spellEnd"/>
      <w:r w:rsidRPr="006613C3">
        <w:rPr>
          <w:rFonts w:hAnsi="Times New Roman" w:cs="Times New Roman"/>
        </w:rPr>
        <w:t xml:space="preserve"> Quirós Jorge Mario; Madrazo Cuéllar Jorge, Villegas </w:t>
      </w:r>
      <w:proofErr w:type="spellStart"/>
      <w:r w:rsidRPr="006613C3">
        <w:rPr>
          <w:rFonts w:hAnsi="Times New Roman" w:cs="Times New Roman"/>
        </w:rPr>
        <w:t>Antillón</w:t>
      </w:r>
      <w:proofErr w:type="spellEnd"/>
      <w:r w:rsidRPr="006613C3">
        <w:rPr>
          <w:rFonts w:hAnsi="Times New Roman" w:cs="Times New Roman"/>
        </w:rPr>
        <w:t> Rafael. 1986. Legislación electoral costarricense. San José, C.R: Tribunal Supremo de Elecciones. CAPEL.</w:t>
      </w:r>
    </w:p>
    <w:p w14:paraId="68BC046A" w14:textId="77777777" w:rsidR="00837807" w:rsidRPr="006613C3" w:rsidRDefault="00837807" w:rsidP="00837807">
      <w:pPr>
        <w:pStyle w:val="Prrafodelista"/>
        <w:rPr>
          <w:rFonts w:hAnsi="Times New Roman" w:cs="Times New Roman"/>
        </w:rPr>
      </w:pPr>
    </w:p>
    <w:p w14:paraId="100253A4"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García Soriano María Vicenta.  1999. Elementos de derecho electoral. Valencia, España, Tirant Lo Blanch.</w:t>
      </w:r>
    </w:p>
    <w:p w14:paraId="444F7B17" w14:textId="77777777" w:rsidR="00837807" w:rsidRPr="006613C3" w:rsidRDefault="00837807" w:rsidP="00837807">
      <w:pPr>
        <w:pStyle w:val="Prrafodelista"/>
        <w:rPr>
          <w:rFonts w:hAnsi="Times New Roman" w:cs="Times New Roman"/>
        </w:rPr>
      </w:pPr>
    </w:p>
    <w:p w14:paraId="38320A42"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González Oropeza Manuel, Cienfuegos Salgado David. Cuestiones y Reflexiones Político-Electorales.</w:t>
      </w:r>
    </w:p>
    <w:p w14:paraId="72C044D7" w14:textId="77777777" w:rsidR="00837807" w:rsidRPr="006613C3" w:rsidRDefault="00837807" w:rsidP="00837807">
      <w:pPr>
        <w:pStyle w:val="Prrafodelista"/>
        <w:rPr>
          <w:rFonts w:hAnsi="Times New Roman" w:cs="Times New Roman"/>
        </w:rPr>
      </w:pPr>
    </w:p>
    <w:p w14:paraId="551DD527"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González Oropeza Manuel, Doctor en Derecho por la UNAM y Magistrado de la Sala Superior del Tribunal Electoral del Poder Judicial de la Federación. 2010. Candidaturas Independientes.</w:t>
      </w:r>
    </w:p>
    <w:p w14:paraId="74872C7B" w14:textId="77777777" w:rsidR="00837807" w:rsidRPr="006613C3" w:rsidRDefault="00837807" w:rsidP="00837807">
      <w:pPr>
        <w:pStyle w:val="Prrafodelista"/>
        <w:rPr>
          <w:rFonts w:hAnsi="Times New Roman" w:cs="Times New Roman"/>
        </w:rPr>
      </w:pPr>
    </w:p>
    <w:p w14:paraId="00C2596F"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Instituto Interamericano de Derechos Humanos. 1989. Diccionario Electoral. Centro Interamericano de Asesoría y Promoción Electoral, Costa Rica.</w:t>
      </w:r>
    </w:p>
    <w:p w14:paraId="3AED966C" w14:textId="77777777" w:rsidR="00837807" w:rsidRPr="006613C3" w:rsidRDefault="00837807" w:rsidP="00837807">
      <w:pPr>
        <w:pStyle w:val="Prrafodelista"/>
        <w:rPr>
          <w:rFonts w:hAnsi="Times New Roman" w:cs="Times New Roman"/>
        </w:rPr>
      </w:pPr>
    </w:p>
    <w:p w14:paraId="47B06F52"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 xml:space="preserve">Jones Mark P., 1995. Electoral </w:t>
      </w:r>
      <w:proofErr w:type="spellStart"/>
      <w:r w:rsidRPr="006613C3">
        <w:rPr>
          <w:rFonts w:hAnsi="Times New Roman" w:cs="Times New Roman"/>
        </w:rPr>
        <w:t>Laws</w:t>
      </w:r>
      <w:proofErr w:type="spellEnd"/>
      <w:r w:rsidRPr="006613C3">
        <w:rPr>
          <w:rFonts w:hAnsi="Times New Roman" w:cs="Times New Roman"/>
        </w:rPr>
        <w:t xml:space="preserve"> and </w:t>
      </w:r>
      <w:proofErr w:type="spellStart"/>
      <w:r w:rsidRPr="006613C3">
        <w:rPr>
          <w:rFonts w:hAnsi="Times New Roman" w:cs="Times New Roman"/>
        </w:rPr>
        <w:t>the</w:t>
      </w:r>
      <w:proofErr w:type="spellEnd"/>
      <w:r w:rsidRPr="006613C3">
        <w:rPr>
          <w:rFonts w:hAnsi="Times New Roman" w:cs="Times New Roman"/>
        </w:rPr>
        <w:t xml:space="preserve"> </w:t>
      </w:r>
      <w:proofErr w:type="spellStart"/>
      <w:r w:rsidRPr="006613C3">
        <w:rPr>
          <w:rFonts w:hAnsi="Times New Roman" w:cs="Times New Roman"/>
        </w:rPr>
        <w:t>Survival</w:t>
      </w:r>
      <w:proofErr w:type="spellEnd"/>
      <w:r w:rsidRPr="006613C3">
        <w:rPr>
          <w:rFonts w:hAnsi="Times New Roman" w:cs="Times New Roman"/>
        </w:rPr>
        <w:t xml:space="preserve"> of Presidencial </w:t>
      </w:r>
      <w:proofErr w:type="spellStart"/>
      <w:r w:rsidRPr="006613C3">
        <w:rPr>
          <w:rFonts w:hAnsi="Times New Roman" w:cs="Times New Roman"/>
        </w:rPr>
        <w:t>Democracies</w:t>
      </w:r>
      <w:proofErr w:type="spellEnd"/>
      <w:r w:rsidRPr="006613C3">
        <w:rPr>
          <w:rFonts w:hAnsi="Times New Roman" w:cs="Times New Roman"/>
        </w:rPr>
        <w:t xml:space="preserve">. Universidad de </w:t>
      </w:r>
      <w:proofErr w:type="spellStart"/>
      <w:r w:rsidRPr="006613C3">
        <w:rPr>
          <w:rFonts w:hAnsi="Times New Roman" w:cs="Times New Roman"/>
        </w:rPr>
        <w:t>Notre</w:t>
      </w:r>
      <w:proofErr w:type="spellEnd"/>
      <w:r w:rsidRPr="006613C3">
        <w:rPr>
          <w:rFonts w:hAnsi="Times New Roman" w:cs="Times New Roman"/>
        </w:rPr>
        <w:t xml:space="preserve"> Dame, </w:t>
      </w:r>
      <w:proofErr w:type="spellStart"/>
      <w:r w:rsidRPr="006613C3">
        <w:rPr>
          <w:rFonts w:hAnsi="Times New Roman" w:cs="Times New Roman"/>
        </w:rPr>
        <w:t>Notre</w:t>
      </w:r>
      <w:proofErr w:type="spellEnd"/>
      <w:r w:rsidRPr="006613C3">
        <w:rPr>
          <w:rFonts w:hAnsi="Times New Roman" w:cs="Times New Roman"/>
        </w:rPr>
        <w:t xml:space="preserve"> Dame </w:t>
      </w:r>
      <w:proofErr w:type="spellStart"/>
      <w:r w:rsidRPr="006613C3">
        <w:rPr>
          <w:rFonts w:hAnsi="Times New Roman" w:cs="Times New Roman"/>
        </w:rPr>
        <w:t>Press</w:t>
      </w:r>
      <w:proofErr w:type="spellEnd"/>
      <w:r w:rsidRPr="006613C3">
        <w:rPr>
          <w:rFonts w:hAnsi="Times New Roman" w:cs="Times New Roman"/>
        </w:rPr>
        <w:t>.</w:t>
      </w:r>
    </w:p>
    <w:p w14:paraId="56AB8A09" w14:textId="77777777" w:rsidR="00837807" w:rsidRPr="006613C3" w:rsidRDefault="00837807" w:rsidP="00837807">
      <w:pPr>
        <w:pStyle w:val="Prrafodelista"/>
        <w:rPr>
          <w:rFonts w:hAnsi="Times New Roman" w:cs="Times New Roman"/>
        </w:rPr>
      </w:pPr>
    </w:p>
    <w:p w14:paraId="0DDB4EAB"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Narro Lobo Joaquín R. 2010. Candidaturas Comunes y Coaliciones Electorales, el caso del Estado de México. Publicado por el Profesor de la Facultad de Derecho, UNAM.</w:t>
      </w:r>
    </w:p>
    <w:p w14:paraId="3165AFF8" w14:textId="77777777" w:rsidR="00837807" w:rsidRPr="006613C3" w:rsidRDefault="00837807" w:rsidP="00837807">
      <w:pPr>
        <w:pStyle w:val="Prrafodelista"/>
        <w:rPr>
          <w:rFonts w:hAnsi="Times New Roman" w:cs="Times New Roman"/>
        </w:rPr>
      </w:pPr>
    </w:p>
    <w:p w14:paraId="251C7943"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proofErr w:type="spellStart"/>
      <w:r w:rsidRPr="006613C3">
        <w:rPr>
          <w:rFonts w:hAnsi="Times New Roman" w:cs="Times New Roman"/>
        </w:rPr>
        <w:t>Nohlen</w:t>
      </w:r>
      <w:proofErr w:type="spellEnd"/>
      <w:r w:rsidRPr="006613C3">
        <w:rPr>
          <w:rFonts w:hAnsi="Times New Roman" w:cs="Times New Roman"/>
        </w:rPr>
        <w:t xml:space="preserve"> </w:t>
      </w:r>
      <w:proofErr w:type="spellStart"/>
      <w:r w:rsidRPr="006613C3">
        <w:rPr>
          <w:rFonts w:hAnsi="Times New Roman" w:cs="Times New Roman"/>
        </w:rPr>
        <w:t>Dieter</w:t>
      </w:r>
      <w:proofErr w:type="spellEnd"/>
      <w:r w:rsidRPr="006613C3">
        <w:rPr>
          <w:rFonts w:hAnsi="Times New Roman" w:cs="Times New Roman"/>
        </w:rPr>
        <w:t>. 1998. Sistemas electorales y Sistema de Partidos. Fondo de Cultura Económica, México.</w:t>
      </w:r>
    </w:p>
    <w:p w14:paraId="5064D3B5" w14:textId="77777777" w:rsidR="00837807" w:rsidRPr="006613C3" w:rsidRDefault="00837807" w:rsidP="00837807">
      <w:pPr>
        <w:pStyle w:val="Prrafodelista"/>
        <w:rPr>
          <w:rFonts w:hAnsi="Times New Roman" w:cs="Times New Roman"/>
        </w:rPr>
      </w:pPr>
    </w:p>
    <w:p w14:paraId="69F88AB2" w14:textId="18FAA880" w:rsidR="00837807" w:rsidRPr="00837807"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 xml:space="preserve">Olvera Acevedo Alejandro, Profesor de Derecho electoral en la Facultad de Derecho de la UNAM, Secretario Auxiliar del Tribunal Electoral del Poder Judicial de la </w:t>
      </w:r>
      <w:r w:rsidRPr="006613C3">
        <w:rPr>
          <w:rFonts w:hAnsi="Times New Roman" w:cs="Times New Roman"/>
        </w:rPr>
        <w:lastRenderedPageBreak/>
        <w:t>Federación. El nuevo régimen jurídico de las coaliciones electorales en el ámbito federal.</w:t>
      </w:r>
    </w:p>
    <w:p w14:paraId="5A1CD289" w14:textId="77777777" w:rsidR="00837807" w:rsidRPr="006613C3" w:rsidRDefault="00837807" w:rsidP="00837807">
      <w:pPr>
        <w:pStyle w:val="Prrafodelista"/>
        <w:rPr>
          <w:rFonts w:hAnsi="Times New Roman" w:cs="Times New Roman"/>
        </w:rPr>
      </w:pPr>
    </w:p>
    <w:p w14:paraId="1EC5C0AB"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Quiñones Tinoco Carlos Sergio. 2014. Reglas de equidad en la legislación electoral mexicana para la contienda electoral.  Ponencia sostenida por en el XXV Congreso Nacional y V Internacional de Estudios Electorales. “Integridad y equidad electoral en América Latina”. San José, Costa Rica.</w:t>
      </w:r>
    </w:p>
    <w:p w14:paraId="7342E9A1" w14:textId="14550F0F" w:rsidR="00837807" w:rsidRPr="008E5000" w:rsidRDefault="00837807" w:rsidP="008E5000">
      <w:pPr>
        <w:rPr>
          <w:rFonts w:hAnsi="Times New Roman" w:cs="Times New Roman"/>
        </w:rPr>
      </w:pPr>
    </w:p>
    <w:p w14:paraId="6909BAAD"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Roldán Quiñónez Luis Fernando y Helguera Antonio. Diccionario Irreverente de Política Mexicana. Grijalbo, Actualidad.</w:t>
      </w:r>
    </w:p>
    <w:p w14:paraId="5DE15240" w14:textId="19ADEC30" w:rsidR="00837807" w:rsidRPr="008E5000" w:rsidRDefault="00837807" w:rsidP="008E5000">
      <w:pPr>
        <w:rPr>
          <w:rFonts w:hAnsi="Times New Roman" w:cs="Times New Roman"/>
        </w:rPr>
      </w:pPr>
    </w:p>
    <w:p w14:paraId="281D3FF6"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Sartori Giovanni, 1994. Ingeniería Constitucional Comparada Una investigación de estructuras, incentivos y resultados. Fondo de Cultura Económica, México.</w:t>
      </w:r>
    </w:p>
    <w:p w14:paraId="133EB83B" w14:textId="314F8D4D" w:rsidR="00837807" w:rsidRPr="008E5000" w:rsidRDefault="00837807" w:rsidP="008E5000">
      <w:pPr>
        <w:rPr>
          <w:rFonts w:hAnsi="Times New Roman" w:cs="Times New Roman"/>
        </w:rPr>
      </w:pPr>
    </w:p>
    <w:p w14:paraId="682E7C88"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 xml:space="preserve">Travieso Juan Antonio; </w:t>
      </w:r>
      <w:proofErr w:type="spellStart"/>
      <w:r w:rsidRPr="006613C3">
        <w:rPr>
          <w:rFonts w:hAnsi="Times New Roman" w:cs="Times New Roman"/>
        </w:rPr>
        <w:t>Danielián</w:t>
      </w:r>
      <w:proofErr w:type="spellEnd"/>
      <w:r w:rsidRPr="006613C3">
        <w:rPr>
          <w:rFonts w:hAnsi="Times New Roman" w:cs="Times New Roman"/>
        </w:rPr>
        <w:t xml:space="preserve"> Miguel.  1999. Derecho electoral y partidos políticos. Buenos Aires: </w:t>
      </w:r>
      <w:proofErr w:type="spellStart"/>
      <w:r w:rsidRPr="006613C3">
        <w:rPr>
          <w:rFonts w:hAnsi="Times New Roman" w:cs="Times New Roman"/>
        </w:rPr>
        <w:t>Abeledo-Perrot</w:t>
      </w:r>
      <w:proofErr w:type="spellEnd"/>
      <w:r w:rsidRPr="006613C3">
        <w:rPr>
          <w:rFonts w:hAnsi="Times New Roman" w:cs="Times New Roman"/>
        </w:rPr>
        <w:t>.</w:t>
      </w:r>
    </w:p>
    <w:p w14:paraId="7659577E" w14:textId="3CBBA023" w:rsidR="00837807" w:rsidRPr="008E5000" w:rsidRDefault="00837807" w:rsidP="008E5000">
      <w:pPr>
        <w:rPr>
          <w:rFonts w:hAnsi="Times New Roman" w:cs="Times New Roman"/>
        </w:rPr>
      </w:pPr>
    </w:p>
    <w:p w14:paraId="5C7E861E"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Valdivia Cano Ramiro. 1998. Manual de derecho electoral. Lima, Editorial Horizonte.</w:t>
      </w:r>
    </w:p>
    <w:p w14:paraId="7CEC04C9" w14:textId="77777777" w:rsidR="00837807" w:rsidRPr="006613C3" w:rsidRDefault="00837807" w:rsidP="00837807">
      <w:pPr>
        <w:pStyle w:val="Prrafodelista"/>
        <w:rPr>
          <w:rFonts w:hAnsi="Times New Roman" w:cs="Times New Roman"/>
        </w:rPr>
      </w:pPr>
    </w:p>
    <w:p w14:paraId="058095B3"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 xml:space="preserve">Villegas </w:t>
      </w:r>
      <w:proofErr w:type="spellStart"/>
      <w:r w:rsidRPr="006613C3">
        <w:rPr>
          <w:rFonts w:hAnsi="Times New Roman" w:cs="Times New Roman"/>
        </w:rPr>
        <w:t>Antillón</w:t>
      </w:r>
      <w:proofErr w:type="spellEnd"/>
      <w:r w:rsidRPr="006613C3">
        <w:rPr>
          <w:rFonts w:hAnsi="Times New Roman" w:cs="Times New Roman"/>
        </w:rPr>
        <w:t xml:space="preserve"> Rafael. 1986. El Tribunal Supremo de Elecciones y el Registro Civil de Costa Rica: análisis jurídico, estructural y técnico. San José, C.R: Tribunal Supremo de Elecciones.</w:t>
      </w:r>
    </w:p>
    <w:p w14:paraId="30FB9F1D" w14:textId="77777777" w:rsidR="00837807" w:rsidRPr="006613C3" w:rsidRDefault="00837807" w:rsidP="00837807">
      <w:pPr>
        <w:pStyle w:val="Prrafodelista"/>
        <w:rPr>
          <w:rFonts w:hAnsi="Times New Roman" w:cs="Times New Roman"/>
        </w:rPr>
      </w:pPr>
    </w:p>
    <w:p w14:paraId="19EA12AE" w14:textId="1FD11D1F" w:rsidR="00837807" w:rsidRPr="008E5000"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proofErr w:type="spellStart"/>
      <w:r w:rsidRPr="006613C3">
        <w:rPr>
          <w:rFonts w:hAnsi="Times New Roman" w:cs="Times New Roman"/>
        </w:rPr>
        <w:t>Zovatto</w:t>
      </w:r>
      <w:proofErr w:type="spellEnd"/>
      <w:r w:rsidRPr="006613C3">
        <w:rPr>
          <w:rFonts w:hAnsi="Times New Roman" w:cs="Times New Roman"/>
        </w:rPr>
        <w:t xml:space="preserve"> Daniel, Conferencia Magistral. La regulación jurídica de los partidos políticos en América Latina.</w:t>
      </w:r>
    </w:p>
    <w:p w14:paraId="43DB4B11" w14:textId="77777777" w:rsidR="00837807" w:rsidRPr="006613C3" w:rsidRDefault="00837807" w:rsidP="00837807">
      <w:pPr>
        <w:jc w:val="both"/>
        <w:rPr>
          <w:rFonts w:hAnsi="Times New Roman" w:cs="Times New Roman"/>
          <w:b/>
        </w:rPr>
      </w:pPr>
    </w:p>
    <w:p w14:paraId="4EDBAB4F" w14:textId="77777777" w:rsidR="00837807" w:rsidRPr="006613C3" w:rsidRDefault="00837807" w:rsidP="00837807">
      <w:pPr>
        <w:jc w:val="both"/>
        <w:rPr>
          <w:rFonts w:hAnsi="Times New Roman" w:cs="Times New Roman"/>
          <w:b/>
        </w:rPr>
      </w:pPr>
    </w:p>
    <w:p w14:paraId="5C47D143" w14:textId="77777777" w:rsidR="00837807" w:rsidRPr="006613C3" w:rsidRDefault="00837807" w:rsidP="00837807">
      <w:pPr>
        <w:jc w:val="both"/>
        <w:rPr>
          <w:rFonts w:hAnsi="Times New Roman" w:cs="Times New Roman"/>
          <w:b/>
        </w:rPr>
      </w:pPr>
      <w:r w:rsidRPr="006613C3">
        <w:rPr>
          <w:rFonts w:hAnsi="Times New Roman" w:cs="Times New Roman"/>
          <w:b/>
        </w:rPr>
        <w:t>Legislación:</w:t>
      </w:r>
    </w:p>
    <w:p w14:paraId="4A33CFD4" w14:textId="77777777" w:rsidR="00837807" w:rsidRPr="006613C3" w:rsidRDefault="00837807" w:rsidP="00837807">
      <w:pPr>
        <w:pStyle w:val="Prrafodelista"/>
        <w:jc w:val="both"/>
        <w:rPr>
          <w:rFonts w:hAnsi="Times New Roman" w:cs="Times New Roman"/>
        </w:rPr>
      </w:pPr>
    </w:p>
    <w:p w14:paraId="40B8E5B6"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2020. Constitución Política de los Estados Unidos Mexicanos.</w:t>
      </w:r>
    </w:p>
    <w:p w14:paraId="10514DF6" w14:textId="77777777" w:rsidR="00837807" w:rsidRPr="006613C3" w:rsidRDefault="00837807" w:rsidP="00837807">
      <w:pPr>
        <w:pStyle w:val="Prrafodelista"/>
        <w:jc w:val="both"/>
        <w:rPr>
          <w:rFonts w:hAnsi="Times New Roman" w:cs="Times New Roman"/>
        </w:rPr>
      </w:pPr>
    </w:p>
    <w:p w14:paraId="1A289DDA"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2020. Ley General de Instituciones y Partidos Políticos.</w:t>
      </w:r>
    </w:p>
    <w:p w14:paraId="233C729D" w14:textId="77777777" w:rsidR="00837807" w:rsidRPr="006613C3" w:rsidRDefault="00837807" w:rsidP="00837807">
      <w:pPr>
        <w:pStyle w:val="Prrafodelista"/>
        <w:jc w:val="both"/>
        <w:rPr>
          <w:rFonts w:hAnsi="Times New Roman" w:cs="Times New Roman"/>
        </w:rPr>
      </w:pPr>
    </w:p>
    <w:p w14:paraId="6105B046"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2020. Ley General de Partidos Políticos.</w:t>
      </w:r>
    </w:p>
    <w:p w14:paraId="324852F5" w14:textId="77777777" w:rsidR="00837807" w:rsidRPr="006613C3" w:rsidRDefault="00837807" w:rsidP="00837807">
      <w:pPr>
        <w:pStyle w:val="Prrafodelista"/>
        <w:jc w:val="both"/>
        <w:rPr>
          <w:rFonts w:hAnsi="Times New Roman" w:cs="Times New Roman"/>
        </w:rPr>
      </w:pPr>
    </w:p>
    <w:p w14:paraId="1BA35F91"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2020. Constitución Política del Estado de Morelos.</w:t>
      </w:r>
    </w:p>
    <w:p w14:paraId="6595F9FE" w14:textId="77777777" w:rsidR="00837807" w:rsidRPr="006613C3" w:rsidRDefault="00837807" w:rsidP="00837807">
      <w:pPr>
        <w:pStyle w:val="Prrafodelista"/>
        <w:jc w:val="both"/>
        <w:rPr>
          <w:rFonts w:hAnsi="Times New Roman" w:cs="Times New Roman"/>
        </w:rPr>
      </w:pPr>
    </w:p>
    <w:p w14:paraId="45A46794"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2020. Código de Instituciones y Procedimientos Electorales para el Estado de Morelos.</w:t>
      </w:r>
    </w:p>
    <w:p w14:paraId="4F267E98" w14:textId="77777777" w:rsidR="00837807" w:rsidRPr="006613C3" w:rsidRDefault="00837807" w:rsidP="00837807">
      <w:pPr>
        <w:pStyle w:val="Prrafodelista"/>
        <w:jc w:val="both"/>
        <w:rPr>
          <w:rFonts w:hAnsi="Times New Roman" w:cs="Times New Roman"/>
        </w:rPr>
      </w:pPr>
    </w:p>
    <w:p w14:paraId="12D3614B" w14:textId="77777777" w:rsidR="00837807" w:rsidRPr="006613C3" w:rsidRDefault="00837807" w:rsidP="00837807">
      <w:pPr>
        <w:pStyle w:val="Prrafodelista"/>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both"/>
        <w:rPr>
          <w:rFonts w:hAnsi="Times New Roman" w:cs="Times New Roman"/>
        </w:rPr>
      </w:pPr>
      <w:r w:rsidRPr="006613C3">
        <w:rPr>
          <w:rFonts w:hAnsi="Times New Roman" w:cs="Times New Roman"/>
        </w:rPr>
        <w:t xml:space="preserve">2020. Ley General del Sistema de Medios de Impugnación en Materia Electoral. </w:t>
      </w:r>
    </w:p>
    <w:p w14:paraId="52482614" w14:textId="77777777" w:rsidR="00837807" w:rsidRPr="006613C3" w:rsidRDefault="00837807" w:rsidP="00837807">
      <w:pPr>
        <w:jc w:val="both"/>
        <w:rPr>
          <w:rFonts w:hAnsi="Times New Roman" w:cs="Times New Roman"/>
        </w:rPr>
      </w:pPr>
    </w:p>
    <w:p w14:paraId="34E9B112" w14:textId="77777777" w:rsidR="00837807" w:rsidRPr="006613C3" w:rsidRDefault="00837807" w:rsidP="00837807">
      <w:pPr>
        <w:pStyle w:val="Prrafodelista"/>
        <w:rPr>
          <w:rFonts w:hAnsi="Times New Roman" w:cs="Times New Roman"/>
        </w:rPr>
      </w:pPr>
    </w:p>
    <w:p w14:paraId="043AD749" w14:textId="77777777" w:rsidR="00837807" w:rsidRPr="006613C3" w:rsidRDefault="00837807" w:rsidP="00837807">
      <w:pPr>
        <w:pStyle w:val="Prrafodelista"/>
        <w:rPr>
          <w:rFonts w:hAnsi="Times New Roman" w:cs="Times New Roman"/>
        </w:rPr>
      </w:pPr>
    </w:p>
    <w:p w14:paraId="6061B388" w14:textId="77777777" w:rsidR="00837807" w:rsidRPr="006613C3" w:rsidRDefault="00837807" w:rsidP="00837807">
      <w:pPr>
        <w:pStyle w:val="Prrafodelista"/>
        <w:jc w:val="both"/>
        <w:rPr>
          <w:rFonts w:hAnsi="Times New Roman" w:cs="Times New Roman"/>
        </w:rPr>
      </w:pPr>
    </w:p>
    <w:p w14:paraId="1F314219" w14:textId="77777777" w:rsidR="00837807" w:rsidRPr="006613C3" w:rsidRDefault="00837807" w:rsidP="00837807">
      <w:pPr>
        <w:rPr>
          <w:rFonts w:hAnsi="Times New Roman" w:cs="Times New Roman"/>
        </w:rPr>
      </w:pPr>
    </w:p>
    <w:p w14:paraId="6B9E7ACF" w14:textId="59F4C25F" w:rsidR="00BF2E7F" w:rsidRPr="00CD5A7D" w:rsidRDefault="00BF2E7F" w:rsidP="00CD5A7D">
      <w:pPr>
        <w:spacing w:line="360" w:lineRule="auto"/>
        <w:jc w:val="both"/>
        <w:outlineLvl w:val="0"/>
        <w:rPr>
          <w:rFonts w:eastAsia="Arial" w:hAnsi="Times New Roman" w:cs="Times New Roman"/>
          <w:b/>
          <w:bCs/>
        </w:rPr>
      </w:pPr>
    </w:p>
    <w:p w14:paraId="39DA4BB7" w14:textId="77777777" w:rsidR="00245F4D" w:rsidRPr="00CD5A7D" w:rsidRDefault="00245F4D" w:rsidP="00CD5A7D">
      <w:pPr>
        <w:spacing w:line="360" w:lineRule="auto"/>
        <w:jc w:val="both"/>
        <w:rPr>
          <w:rFonts w:hAnsi="Times New Roman" w:cs="Times New Roman"/>
        </w:rPr>
      </w:pPr>
    </w:p>
    <w:p w14:paraId="06977058" w14:textId="77777777" w:rsidR="00BF2E7F" w:rsidRPr="00CD5A7D" w:rsidRDefault="00BF2E7F" w:rsidP="00CD5A7D">
      <w:pPr>
        <w:spacing w:line="360" w:lineRule="auto"/>
        <w:jc w:val="both"/>
        <w:rPr>
          <w:rFonts w:eastAsia="Arial" w:hAnsi="Times New Roman" w:cs="Times New Roman"/>
        </w:rPr>
      </w:pPr>
      <w:r w:rsidRPr="00CD5A7D">
        <w:rPr>
          <w:rStyle w:val="Ninguno"/>
          <w:rFonts w:hAnsi="Times New Roman" w:cs="Times New Roman"/>
        </w:rPr>
        <w:t>1.</w:t>
      </w:r>
      <w:r w:rsidRPr="00CD5A7D">
        <w:rPr>
          <w:rFonts w:hAnsi="Times New Roman" w:cs="Times New Roman"/>
        </w:rPr>
        <w:t>Principios Rectores En Materia Electoral En Latinoamérica; Carlos Manuel Rosales, Licenciado en Derecho por la Universidad Nacional Autónoma de México. Diplomado por la Universidad de Heidelberg. Maestría en Derecho por la Universidad de Chile.</w:t>
      </w:r>
    </w:p>
    <w:p w14:paraId="7ABD90AB" w14:textId="77777777" w:rsidR="00BF2E7F" w:rsidRPr="00CD5A7D" w:rsidRDefault="00BF2E7F" w:rsidP="00CD5A7D">
      <w:pPr>
        <w:spacing w:line="360" w:lineRule="auto"/>
        <w:jc w:val="both"/>
        <w:rPr>
          <w:rFonts w:eastAsia="Arial" w:hAnsi="Times New Roman" w:cs="Times New Roman"/>
        </w:rPr>
      </w:pPr>
      <w:r w:rsidRPr="00CD5A7D">
        <w:rPr>
          <w:rStyle w:val="Ninguno"/>
          <w:rFonts w:hAnsi="Times New Roman" w:cs="Times New Roman"/>
        </w:rPr>
        <w:t>2.</w:t>
      </w:r>
      <w:r w:rsidRPr="00CD5A7D">
        <w:rPr>
          <w:rFonts w:hAnsi="Times New Roman" w:cs="Times New Roman"/>
        </w:rPr>
        <w:t xml:space="preserve">García </w:t>
      </w:r>
      <w:proofErr w:type="spellStart"/>
      <w:r w:rsidRPr="00CD5A7D">
        <w:rPr>
          <w:rFonts w:hAnsi="Times New Roman" w:cs="Times New Roman"/>
        </w:rPr>
        <w:t>Laguardia</w:t>
      </w:r>
      <w:proofErr w:type="spellEnd"/>
      <w:r w:rsidRPr="00CD5A7D">
        <w:rPr>
          <w:rFonts w:hAnsi="Times New Roman" w:cs="Times New Roman"/>
        </w:rPr>
        <w:t xml:space="preserve"> Quirós, Jorge Mario; Madrazo Cuéllar, Jorge; Villegas </w:t>
      </w:r>
      <w:proofErr w:type="spellStart"/>
      <w:r w:rsidRPr="00CD5A7D">
        <w:rPr>
          <w:rFonts w:hAnsi="Times New Roman" w:cs="Times New Roman"/>
        </w:rPr>
        <w:t>Antillón</w:t>
      </w:r>
      <w:proofErr w:type="spellEnd"/>
      <w:r w:rsidRPr="00CD5A7D">
        <w:rPr>
          <w:rFonts w:hAnsi="Times New Roman" w:cs="Times New Roman"/>
        </w:rPr>
        <w:t>,</w:t>
      </w:r>
      <w:r w:rsidR="00CD5A7D" w:rsidRPr="00CD5A7D">
        <w:rPr>
          <w:rFonts w:hAnsi="Times New Roman" w:cs="Times New Roman"/>
        </w:rPr>
        <w:t xml:space="preserve"> </w:t>
      </w:r>
      <w:r w:rsidRPr="00CD5A7D">
        <w:rPr>
          <w:rFonts w:hAnsi="Times New Roman" w:cs="Times New Roman"/>
        </w:rPr>
        <w:t>Rafael. Legislación electoral costarricense. San José, C.R : CAPEL : T.S.E, 1986. 84 p.</w:t>
      </w:r>
      <w:r w:rsidR="00CD5A7D" w:rsidRPr="00CD5A7D">
        <w:rPr>
          <w:rFonts w:hAnsi="Times New Roman" w:cs="Times New Roman"/>
        </w:rPr>
        <w:t xml:space="preserve"> </w:t>
      </w:r>
      <w:r w:rsidRPr="00CD5A7D">
        <w:rPr>
          <w:rFonts w:hAnsi="Times New Roman" w:cs="Times New Roman"/>
        </w:rPr>
        <w:t xml:space="preserve">NOTAS: Separata de la obra Legislación electoral comparada : Colombia, México, Panamá, Venezuela y Centroamérica. </w:t>
      </w:r>
    </w:p>
    <w:p w14:paraId="5563F2DF"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 xml:space="preserve">3 Villegas </w:t>
      </w:r>
      <w:proofErr w:type="spellStart"/>
      <w:r w:rsidRPr="00CD5A7D">
        <w:rPr>
          <w:rFonts w:hAnsi="Times New Roman" w:cs="Times New Roman"/>
        </w:rPr>
        <w:t>Antillón</w:t>
      </w:r>
      <w:proofErr w:type="spellEnd"/>
      <w:r w:rsidRPr="00CD5A7D">
        <w:rPr>
          <w:rFonts w:hAnsi="Times New Roman" w:cs="Times New Roman"/>
        </w:rPr>
        <w:t>, Rafael. El Tribunal Supremo de Elecciones y el Registro Civil de Costa Rica : análisis jurídico, estructural y técnico. San José, C.R : Tribunal Supremo de Elecciones], 1986. 56 h.</w:t>
      </w:r>
    </w:p>
    <w:p w14:paraId="76692D80"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4. García Soriano, María Vicenta.</w:t>
      </w:r>
      <w:r w:rsidR="00CD5A7D" w:rsidRPr="00CD5A7D">
        <w:rPr>
          <w:rFonts w:hAnsi="Times New Roman" w:cs="Times New Roman"/>
        </w:rPr>
        <w:t xml:space="preserve"> </w:t>
      </w:r>
      <w:r w:rsidRPr="00CD5A7D">
        <w:rPr>
          <w:rFonts w:hAnsi="Times New Roman" w:cs="Times New Roman"/>
        </w:rPr>
        <w:t>Elementos de derecho electoral. Valencia, España : Tirant Lo Blanch, 1999. 173 p.</w:t>
      </w:r>
    </w:p>
    <w:p w14:paraId="3C037532"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5. Seminario sobre Organización y Ejecución de Procesos Electorales (1992 : Madrid).</w:t>
      </w:r>
      <w:r w:rsidR="00CD5A7D" w:rsidRPr="00CD5A7D">
        <w:rPr>
          <w:rFonts w:hAnsi="Times New Roman" w:cs="Times New Roman"/>
        </w:rPr>
        <w:t xml:space="preserve"> </w:t>
      </w:r>
      <w:r w:rsidRPr="00CD5A7D">
        <w:rPr>
          <w:rFonts w:hAnsi="Times New Roman" w:cs="Times New Roman"/>
        </w:rPr>
        <w:t>La legislación electoral de Iberoamérica : un análisis comparativo. Madrid, España : Ministerio del Interior, 1992. 636 p</w:t>
      </w:r>
    </w:p>
    <w:p w14:paraId="6BB3D601"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 xml:space="preserve">6. Travieso, Juan Antonio; </w:t>
      </w:r>
      <w:proofErr w:type="spellStart"/>
      <w:r w:rsidRPr="00CD5A7D">
        <w:rPr>
          <w:rFonts w:hAnsi="Times New Roman" w:cs="Times New Roman"/>
        </w:rPr>
        <w:t>Danielián</w:t>
      </w:r>
      <w:proofErr w:type="spellEnd"/>
      <w:r w:rsidRPr="00CD5A7D">
        <w:rPr>
          <w:rFonts w:hAnsi="Times New Roman" w:cs="Times New Roman"/>
        </w:rPr>
        <w:t>, Miguel.</w:t>
      </w:r>
      <w:r w:rsidR="00CD5A7D" w:rsidRPr="00CD5A7D">
        <w:rPr>
          <w:rFonts w:hAnsi="Times New Roman" w:cs="Times New Roman"/>
        </w:rPr>
        <w:t xml:space="preserve"> </w:t>
      </w:r>
      <w:r w:rsidRPr="00CD5A7D">
        <w:rPr>
          <w:rFonts w:hAnsi="Times New Roman" w:cs="Times New Roman"/>
        </w:rPr>
        <w:t xml:space="preserve">Derecho electoral y partidos </w:t>
      </w:r>
    </w:p>
    <w:p w14:paraId="6D25D235"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 xml:space="preserve">políticos. Buenos Aires : </w:t>
      </w:r>
      <w:proofErr w:type="spellStart"/>
      <w:r w:rsidRPr="00CD5A7D">
        <w:rPr>
          <w:rFonts w:hAnsi="Times New Roman" w:cs="Times New Roman"/>
        </w:rPr>
        <w:t>Abeledo-Perrot</w:t>
      </w:r>
      <w:proofErr w:type="spellEnd"/>
      <w:r w:rsidRPr="00CD5A7D">
        <w:rPr>
          <w:rFonts w:hAnsi="Times New Roman" w:cs="Times New Roman"/>
        </w:rPr>
        <w:t>, 1999. 221 p.</w:t>
      </w:r>
      <w:r w:rsidR="00CD5A7D" w:rsidRPr="00CD5A7D">
        <w:rPr>
          <w:rFonts w:hAnsi="Times New Roman" w:cs="Times New Roman"/>
        </w:rPr>
        <w:t xml:space="preserve"> </w:t>
      </w:r>
    </w:p>
    <w:p w14:paraId="5EFE202E"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7. Valdivia Cano, Ramiro. Manual de derecho electoral. Lima : Editorial Horizonte, 1998. 338 p.</w:t>
      </w:r>
      <w:r w:rsidR="00CD5A7D" w:rsidRPr="00CD5A7D">
        <w:rPr>
          <w:rFonts w:hAnsi="Times New Roman" w:cs="Times New Roman"/>
        </w:rPr>
        <w:t xml:space="preserve"> </w:t>
      </w:r>
    </w:p>
    <w:p w14:paraId="56257853"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8. UNIVERSIDAD NACIONAL AUTÓNOMA DE MÉXICO, INSTITUTO DE INVESTIGACIONES JURÍDICAS, Sistemas electorales, Cuadernos del Instituto de Investigaciones Jurídicas, Año II, Número 8, mayo-agosto de 1988, Primera edición: 1988, Impreso y hecho en México.</w:t>
      </w:r>
    </w:p>
    <w:p w14:paraId="7685EC67"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9. CUESTIONES Y REFLEXIONES POLÍTICO-ELECTORALES, González Oropeza, Manuel, Cienfuegos Salgado, David, coordinadores.</w:t>
      </w:r>
    </w:p>
    <w:p w14:paraId="0ACB2CF9"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 xml:space="preserve">10. Diccionario electoral, serie Elecciones y Democracia, 1ª ed., San José Costa Rica, Centro Latinoamericano de </w:t>
      </w:r>
      <w:proofErr w:type="spellStart"/>
      <w:r w:rsidRPr="00CD5A7D">
        <w:rPr>
          <w:rFonts w:hAnsi="Times New Roman" w:cs="Times New Roman"/>
        </w:rPr>
        <w:t>Asesoria</w:t>
      </w:r>
      <w:proofErr w:type="spellEnd"/>
      <w:r w:rsidRPr="00CD5A7D">
        <w:rPr>
          <w:rFonts w:hAnsi="Times New Roman" w:cs="Times New Roman"/>
        </w:rPr>
        <w:t xml:space="preserve"> y Promoción Electoral, 1988.</w:t>
      </w:r>
    </w:p>
    <w:p w14:paraId="2F89022F"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11. Roldán Quiñónez, Luis Fernando y Helguera Antonio, Diccionario Irreverente de Política Mexicana, Grijalbo, Actualidad.</w:t>
      </w:r>
    </w:p>
    <w:p w14:paraId="3625819E"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12. Colomer, Joseph, “Algunas sugerencias sobre reformas constitucionales para la consolidación de la democracia en México”, documento de trabajo presentado a la Comisión de Estudios para la Reforma del Estado, agosto del 2000, citado por Iturriaga Juan Cristián en el documento Formula Electoral para comicios de Jefe de Estado.</w:t>
      </w:r>
    </w:p>
    <w:p w14:paraId="57EA5B3F"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 xml:space="preserve">13. </w:t>
      </w:r>
      <w:proofErr w:type="spellStart"/>
      <w:r w:rsidRPr="00CD5A7D">
        <w:rPr>
          <w:rFonts w:hAnsi="Times New Roman" w:cs="Times New Roman"/>
        </w:rPr>
        <w:t>Bobbio</w:t>
      </w:r>
      <w:proofErr w:type="spellEnd"/>
      <w:r w:rsidRPr="00CD5A7D">
        <w:rPr>
          <w:rFonts w:hAnsi="Times New Roman" w:cs="Times New Roman"/>
        </w:rPr>
        <w:t>, Norberto, El futuro de la democracia, Fondo de Cultura Económica, México, 1999., Liberalismo y democracia, Fondo de Cultura Económica, México, 1989.</w:t>
      </w:r>
    </w:p>
    <w:p w14:paraId="54BB595A"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14. Constitución Política de los Estados Unidos Mexicano, Marco Jurídico del Congreso General de los Estados Unidos Mexicanos, H. Cámara de Diputados, México.</w:t>
      </w:r>
    </w:p>
    <w:p w14:paraId="325FA6E4"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15. Diccionario Electoral, Instituto Interamericano de Derechos Humanos, Centro Interamericano de Asesoría y Promoción Electoral, Costa Rica,1989.</w:t>
      </w:r>
    </w:p>
    <w:p w14:paraId="1A924076"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 xml:space="preserve">16. </w:t>
      </w:r>
      <w:proofErr w:type="spellStart"/>
      <w:r w:rsidRPr="00CD5A7D">
        <w:rPr>
          <w:rFonts w:hAnsi="Times New Roman" w:cs="Times New Roman"/>
        </w:rPr>
        <w:t>Duverger</w:t>
      </w:r>
      <w:proofErr w:type="spellEnd"/>
      <w:r w:rsidRPr="00CD5A7D">
        <w:rPr>
          <w:rFonts w:hAnsi="Times New Roman" w:cs="Times New Roman"/>
        </w:rPr>
        <w:t>, Maurice, Influencia de los Sistemas Electorales, en Diez Textos Básicos de Ciencia Política, Ariel Ciencia, Barcelona, 1992.</w:t>
      </w:r>
    </w:p>
    <w:p w14:paraId="77BFBB37"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 xml:space="preserve">17. Jones, Mark P., Electoral </w:t>
      </w:r>
      <w:proofErr w:type="spellStart"/>
      <w:r w:rsidRPr="00CD5A7D">
        <w:rPr>
          <w:rFonts w:hAnsi="Times New Roman" w:cs="Times New Roman"/>
        </w:rPr>
        <w:t>Laws</w:t>
      </w:r>
      <w:proofErr w:type="spellEnd"/>
      <w:r w:rsidRPr="00CD5A7D">
        <w:rPr>
          <w:rFonts w:hAnsi="Times New Roman" w:cs="Times New Roman"/>
        </w:rPr>
        <w:t xml:space="preserve"> and </w:t>
      </w:r>
      <w:proofErr w:type="spellStart"/>
      <w:r w:rsidRPr="00CD5A7D">
        <w:rPr>
          <w:rFonts w:hAnsi="Times New Roman" w:cs="Times New Roman"/>
        </w:rPr>
        <w:t>the</w:t>
      </w:r>
      <w:proofErr w:type="spellEnd"/>
      <w:r w:rsidRPr="00CD5A7D">
        <w:rPr>
          <w:rFonts w:hAnsi="Times New Roman" w:cs="Times New Roman"/>
        </w:rPr>
        <w:t xml:space="preserve"> </w:t>
      </w:r>
      <w:proofErr w:type="spellStart"/>
      <w:r w:rsidRPr="00CD5A7D">
        <w:rPr>
          <w:rFonts w:hAnsi="Times New Roman" w:cs="Times New Roman"/>
        </w:rPr>
        <w:t>Survival</w:t>
      </w:r>
      <w:proofErr w:type="spellEnd"/>
      <w:r w:rsidRPr="00CD5A7D">
        <w:rPr>
          <w:rFonts w:hAnsi="Times New Roman" w:cs="Times New Roman"/>
        </w:rPr>
        <w:t xml:space="preserve"> of Presidencial </w:t>
      </w:r>
      <w:proofErr w:type="spellStart"/>
      <w:r w:rsidRPr="00CD5A7D">
        <w:rPr>
          <w:rFonts w:hAnsi="Times New Roman" w:cs="Times New Roman"/>
        </w:rPr>
        <w:t>Democracies</w:t>
      </w:r>
      <w:proofErr w:type="spellEnd"/>
      <w:r w:rsidRPr="00CD5A7D">
        <w:rPr>
          <w:rFonts w:hAnsi="Times New Roman" w:cs="Times New Roman"/>
        </w:rPr>
        <w:t xml:space="preserve">, Universidad de </w:t>
      </w:r>
      <w:proofErr w:type="spellStart"/>
      <w:r w:rsidRPr="00CD5A7D">
        <w:rPr>
          <w:rFonts w:hAnsi="Times New Roman" w:cs="Times New Roman"/>
        </w:rPr>
        <w:t>Notre</w:t>
      </w:r>
      <w:proofErr w:type="spellEnd"/>
      <w:r w:rsidRPr="00CD5A7D">
        <w:rPr>
          <w:rFonts w:hAnsi="Times New Roman" w:cs="Times New Roman"/>
        </w:rPr>
        <w:t xml:space="preserve"> Dame, </w:t>
      </w:r>
      <w:proofErr w:type="spellStart"/>
      <w:r w:rsidRPr="00CD5A7D">
        <w:rPr>
          <w:rFonts w:hAnsi="Times New Roman" w:cs="Times New Roman"/>
        </w:rPr>
        <w:t>Notre</w:t>
      </w:r>
      <w:proofErr w:type="spellEnd"/>
      <w:r w:rsidRPr="00CD5A7D">
        <w:rPr>
          <w:rFonts w:hAnsi="Times New Roman" w:cs="Times New Roman"/>
        </w:rPr>
        <w:t xml:space="preserve"> Dame </w:t>
      </w:r>
      <w:proofErr w:type="spellStart"/>
      <w:r w:rsidRPr="00CD5A7D">
        <w:rPr>
          <w:rFonts w:hAnsi="Times New Roman" w:cs="Times New Roman"/>
        </w:rPr>
        <w:t>Press</w:t>
      </w:r>
      <w:proofErr w:type="spellEnd"/>
      <w:r w:rsidRPr="00CD5A7D">
        <w:rPr>
          <w:rFonts w:hAnsi="Times New Roman" w:cs="Times New Roman"/>
        </w:rPr>
        <w:t>, 1995.</w:t>
      </w:r>
    </w:p>
    <w:p w14:paraId="117E30B5"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 xml:space="preserve">18. </w:t>
      </w:r>
      <w:proofErr w:type="spellStart"/>
      <w:r w:rsidRPr="00CD5A7D">
        <w:rPr>
          <w:rFonts w:hAnsi="Times New Roman" w:cs="Times New Roman"/>
        </w:rPr>
        <w:t>Nohlen</w:t>
      </w:r>
      <w:proofErr w:type="spellEnd"/>
      <w:r w:rsidRPr="00CD5A7D">
        <w:rPr>
          <w:rFonts w:hAnsi="Times New Roman" w:cs="Times New Roman"/>
        </w:rPr>
        <w:t xml:space="preserve">, </w:t>
      </w:r>
      <w:proofErr w:type="spellStart"/>
      <w:r w:rsidRPr="00CD5A7D">
        <w:rPr>
          <w:rFonts w:hAnsi="Times New Roman" w:cs="Times New Roman"/>
        </w:rPr>
        <w:t>Dieter</w:t>
      </w:r>
      <w:proofErr w:type="spellEnd"/>
      <w:r w:rsidRPr="00CD5A7D">
        <w:rPr>
          <w:rFonts w:hAnsi="Times New Roman" w:cs="Times New Roman"/>
        </w:rPr>
        <w:t>, Sistemas electorales y Sistema de Partidos, Fondo de Cultura Económica, México, 1998.</w:t>
      </w:r>
    </w:p>
    <w:p w14:paraId="311F4FD2"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 xml:space="preserve">19. Reynolds, Andrew, Ben </w:t>
      </w:r>
      <w:proofErr w:type="spellStart"/>
      <w:r w:rsidRPr="00CD5A7D">
        <w:rPr>
          <w:rFonts w:hAnsi="Times New Roman" w:cs="Times New Roman"/>
        </w:rPr>
        <w:t>Reilly</w:t>
      </w:r>
      <w:proofErr w:type="spellEnd"/>
      <w:r w:rsidRPr="00CD5A7D">
        <w:rPr>
          <w:rFonts w:hAnsi="Times New Roman" w:cs="Times New Roman"/>
        </w:rPr>
        <w:t xml:space="preserve"> and Andrew Ellis, Electoral </w:t>
      </w:r>
      <w:proofErr w:type="spellStart"/>
      <w:r w:rsidRPr="00CD5A7D">
        <w:rPr>
          <w:rFonts w:hAnsi="Times New Roman" w:cs="Times New Roman"/>
        </w:rPr>
        <w:t>System</w:t>
      </w:r>
      <w:proofErr w:type="spellEnd"/>
      <w:r w:rsidRPr="00CD5A7D">
        <w:rPr>
          <w:rFonts w:hAnsi="Times New Roman" w:cs="Times New Roman"/>
        </w:rPr>
        <w:t xml:space="preserve"> </w:t>
      </w:r>
      <w:proofErr w:type="spellStart"/>
      <w:r w:rsidRPr="00CD5A7D">
        <w:rPr>
          <w:rFonts w:hAnsi="Times New Roman" w:cs="Times New Roman"/>
        </w:rPr>
        <w:t>Design</w:t>
      </w:r>
      <w:proofErr w:type="spellEnd"/>
      <w:r w:rsidRPr="00CD5A7D">
        <w:rPr>
          <w:rFonts w:hAnsi="Times New Roman" w:cs="Times New Roman"/>
        </w:rPr>
        <w:t xml:space="preserve">: </w:t>
      </w:r>
      <w:proofErr w:type="spellStart"/>
      <w:r w:rsidRPr="00CD5A7D">
        <w:rPr>
          <w:rFonts w:hAnsi="Times New Roman" w:cs="Times New Roman"/>
        </w:rPr>
        <w:t>The</w:t>
      </w:r>
      <w:proofErr w:type="spellEnd"/>
      <w:r w:rsidRPr="00CD5A7D">
        <w:rPr>
          <w:rFonts w:hAnsi="Times New Roman" w:cs="Times New Roman"/>
        </w:rPr>
        <w:t xml:space="preserve"> New International IDEA </w:t>
      </w:r>
      <w:proofErr w:type="spellStart"/>
      <w:r w:rsidRPr="00CD5A7D">
        <w:rPr>
          <w:rFonts w:hAnsi="Times New Roman" w:cs="Times New Roman"/>
        </w:rPr>
        <w:t>handbook</w:t>
      </w:r>
      <w:proofErr w:type="spellEnd"/>
      <w:r w:rsidRPr="00CD5A7D">
        <w:rPr>
          <w:rFonts w:hAnsi="Times New Roman" w:cs="Times New Roman"/>
        </w:rPr>
        <w:t xml:space="preserve">, International </w:t>
      </w:r>
      <w:proofErr w:type="spellStart"/>
      <w:r w:rsidRPr="00CD5A7D">
        <w:rPr>
          <w:rFonts w:hAnsi="Times New Roman" w:cs="Times New Roman"/>
        </w:rPr>
        <w:t>Institute</w:t>
      </w:r>
      <w:proofErr w:type="spellEnd"/>
      <w:r w:rsidRPr="00CD5A7D">
        <w:rPr>
          <w:rFonts w:hAnsi="Times New Roman" w:cs="Times New Roman"/>
        </w:rPr>
        <w:t xml:space="preserve"> </w:t>
      </w:r>
      <w:proofErr w:type="spellStart"/>
      <w:r w:rsidRPr="00CD5A7D">
        <w:rPr>
          <w:rFonts w:hAnsi="Times New Roman" w:cs="Times New Roman"/>
        </w:rPr>
        <w:t>for</w:t>
      </w:r>
      <w:proofErr w:type="spellEnd"/>
      <w:r w:rsidRPr="00CD5A7D">
        <w:rPr>
          <w:rFonts w:hAnsi="Times New Roman" w:cs="Times New Roman"/>
        </w:rPr>
        <w:t xml:space="preserve"> </w:t>
      </w:r>
      <w:proofErr w:type="spellStart"/>
      <w:r w:rsidRPr="00CD5A7D">
        <w:rPr>
          <w:rFonts w:hAnsi="Times New Roman" w:cs="Times New Roman"/>
        </w:rPr>
        <w:t>Democracy</w:t>
      </w:r>
      <w:proofErr w:type="spellEnd"/>
      <w:r w:rsidRPr="00CD5A7D">
        <w:rPr>
          <w:rFonts w:hAnsi="Times New Roman" w:cs="Times New Roman"/>
        </w:rPr>
        <w:t xml:space="preserve"> and Electoral </w:t>
      </w:r>
      <w:proofErr w:type="spellStart"/>
      <w:r w:rsidRPr="00CD5A7D">
        <w:rPr>
          <w:rFonts w:hAnsi="Times New Roman" w:cs="Times New Roman"/>
        </w:rPr>
        <w:t>Assitance</w:t>
      </w:r>
      <w:proofErr w:type="spellEnd"/>
      <w:r w:rsidRPr="00CD5A7D">
        <w:rPr>
          <w:rFonts w:hAnsi="Times New Roman" w:cs="Times New Roman"/>
        </w:rPr>
        <w:t xml:space="preserve">, </w:t>
      </w:r>
      <w:proofErr w:type="spellStart"/>
      <w:r w:rsidRPr="00CD5A7D">
        <w:rPr>
          <w:rFonts w:hAnsi="Times New Roman" w:cs="Times New Roman"/>
        </w:rPr>
        <w:t>Sweden</w:t>
      </w:r>
      <w:proofErr w:type="spellEnd"/>
      <w:r w:rsidRPr="00CD5A7D">
        <w:rPr>
          <w:rFonts w:hAnsi="Times New Roman" w:cs="Times New Roman"/>
        </w:rPr>
        <w:t>, 2005.</w:t>
      </w:r>
    </w:p>
    <w:p w14:paraId="1945EA62"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20. Sartori, Giovanni, Ingeniería Constitucional Comparada. Una investigación de estructuras, incentivos y resultados, Fondo de Cultura Económica, México, 1994.</w:t>
      </w:r>
    </w:p>
    <w:p w14:paraId="2A3D62D5"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21. Reglas de equidad en la legislación electoral mexicana para la contienda electoral;</w:t>
      </w:r>
      <w:r w:rsidR="00CD5A7D" w:rsidRPr="00CD5A7D">
        <w:rPr>
          <w:rFonts w:hAnsi="Times New Roman" w:cs="Times New Roman"/>
        </w:rPr>
        <w:t xml:space="preserve"> </w:t>
      </w:r>
      <w:r w:rsidRPr="00CD5A7D">
        <w:rPr>
          <w:rFonts w:hAnsi="Times New Roman" w:cs="Times New Roman"/>
        </w:rPr>
        <w:t>Ponencia sostenida por CARLOS SERGIO QUIÑONES TINOCO en el XXV Congreso Nacional Y V Internacional De Estudios Electorales. “Integridad y equidad electoral en América Latina”.</w:t>
      </w:r>
    </w:p>
    <w:p w14:paraId="100545D2" w14:textId="77777777" w:rsidR="00BF2E7F" w:rsidRPr="00CD5A7D" w:rsidRDefault="00BF2E7F" w:rsidP="00CD5A7D">
      <w:pPr>
        <w:spacing w:line="360" w:lineRule="auto"/>
        <w:jc w:val="both"/>
        <w:rPr>
          <w:rStyle w:val="Ninguno"/>
          <w:rFonts w:eastAsia="Arial" w:hAnsi="Times New Roman" w:cs="Times New Roman"/>
        </w:rPr>
      </w:pPr>
      <w:r w:rsidRPr="00CD5A7D">
        <w:rPr>
          <w:rFonts w:hAnsi="Times New Roman" w:cs="Times New Roman"/>
        </w:rPr>
        <w:t xml:space="preserve">22. </w:t>
      </w:r>
      <w:r w:rsidRPr="00CD5A7D">
        <w:rPr>
          <w:rStyle w:val="Ninguno"/>
          <w:rFonts w:hAnsi="Times New Roman" w:cs="Times New Roman"/>
        </w:rPr>
        <w:t>Candidaturas Comunes Y Coaliciones Electorales. El caso del Estado de México Publicado el 01/10/2010 por </w:t>
      </w:r>
      <w:hyperlink r:id="rId10" w:history="1">
        <w:r w:rsidRPr="00CD5A7D">
          <w:rPr>
            <w:rStyle w:val="Ninguno"/>
            <w:rFonts w:hAnsi="Times New Roman" w:cs="Times New Roman"/>
          </w:rPr>
          <w:t>Joaquín R. Narro Lobo</w:t>
        </w:r>
      </w:hyperlink>
      <w:r w:rsidRPr="00CD5A7D">
        <w:rPr>
          <w:rStyle w:val="Ninguno"/>
          <w:rFonts w:hAnsi="Times New Roman" w:cs="Times New Roman"/>
        </w:rPr>
        <w:t>, Profesor de la Facultad de Derecho, UNAM</w:t>
      </w:r>
    </w:p>
    <w:p w14:paraId="355444DC" w14:textId="77777777" w:rsidR="00BF2E7F" w:rsidRPr="00CD5A7D" w:rsidRDefault="00BF2E7F" w:rsidP="00CD5A7D">
      <w:pPr>
        <w:spacing w:line="360" w:lineRule="auto"/>
        <w:jc w:val="both"/>
        <w:rPr>
          <w:rStyle w:val="Ninguno"/>
          <w:rFonts w:eastAsia="Arial" w:hAnsi="Times New Roman" w:cs="Times New Roman"/>
        </w:rPr>
      </w:pPr>
      <w:r w:rsidRPr="00CD5A7D">
        <w:rPr>
          <w:rStyle w:val="Ninguno"/>
          <w:rFonts w:hAnsi="Times New Roman" w:cs="Times New Roman"/>
        </w:rPr>
        <w:t>23. Candidaturas Independientes. Ensayo de MANUEL GOZALEZ OROPEZA. Doctor en Derecho por la UNAM, y Magistrado de la Sala Superior del Tribunal Electoral del Poder Judicial de la Federación. Fecha de publicación: 8 de febrero del 2010.</w:t>
      </w:r>
    </w:p>
    <w:p w14:paraId="7CE26EE8" w14:textId="77777777" w:rsidR="00BF2E7F" w:rsidRPr="00CD5A7D" w:rsidRDefault="00BF2E7F" w:rsidP="00CD5A7D">
      <w:pPr>
        <w:spacing w:line="360" w:lineRule="auto"/>
        <w:jc w:val="both"/>
        <w:rPr>
          <w:rStyle w:val="Ninguno"/>
          <w:rFonts w:eastAsia="Arial" w:hAnsi="Times New Roman" w:cs="Times New Roman"/>
        </w:rPr>
      </w:pPr>
      <w:r w:rsidRPr="00CD5A7D">
        <w:rPr>
          <w:rStyle w:val="Ninguno"/>
          <w:rFonts w:hAnsi="Times New Roman" w:cs="Times New Roman"/>
        </w:rPr>
        <w:t xml:space="preserve">24. ¿Cómo entiende la Corte los Derechos Humanos? Informe septiembre 2014: Publicado el 9 de diciembre de 2014, Víctor Manuel Collí </w:t>
      </w:r>
      <w:proofErr w:type="spellStart"/>
      <w:r w:rsidRPr="00CD5A7D">
        <w:rPr>
          <w:rStyle w:val="Ninguno"/>
          <w:rFonts w:hAnsi="Times New Roman" w:cs="Times New Roman"/>
        </w:rPr>
        <w:t>Ek</w:t>
      </w:r>
      <w:proofErr w:type="spellEnd"/>
      <w:r w:rsidRPr="00CD5A7D">
        <w:rPr>
          <w:rStyle w:val="Ninguno"/>
          <w:rFonts w:hAnsi="Times New Roman" w:cs="Times New Roman"/>
        </w:rPr>
        <w:t>, Investigador de la Universidad Autónoma de Campeche</w:t>
      </w:r>
    </w:p>
    <w:p w14:paraId="15C5A2F5" w14:textId="77777777" w:rsidR="00BF2E7F" w:rsidRPr="00CD5A7D" w:rsidRDefault="00BF2E7F" w:rsidP="00CD5A7D">
      <w:pPr>
        <w:spacing w:line="360" w:lineRule="auto"/>
        <w:jc w:val="both"/>
        <w:rPr>
          <w:rStyle w:val="Ninguno"/>
          <w:rFonts w:eastAsia="Arial" w:hAnsi="Times New Roman" w:cs="Times New Roman"/>
        </w:rPr>
      </w:pPr>
      <w:r w:rsidRPr="00CD5A7D">
        <w:rPr>
          <w:rStyle w:val="Ninguno"/>
          <w:rFonts w:hAnsi="Times New Roman" w:cs="Times New Roman"/>
        </w:rPr>
        <w:t xml:space="preserve">25. La regulación jurídica de los partidos políticos en </w:t>
      </w:r>
      <w:proofErr w:type="spellStart"/>
      <w:r w:rsidRPr="00CD5A7D">
        <w:rPr>
          <w:rStyle w:val="Ninguno"/>
          <w:rFonts w:hAnsi="Times New Roman" w:cs="Times New Roman"/>
        </w:rPr>
        <w:t>America</w:t>
      </w:r>
      <w:proofErr w:type="spellEnd"/>
      <w:r w:rsidRPr="00CD5A7D">
        <w:rPr>
          <w:rStyle w:val="Ninguno"/>
          <w:rFonts w:hAnsi="Times New Roman" w:cs="Times New Roman"/>
        </w:rPr>
        <w:t xml:space="preserve"> Latina. Conferencia Magistral por DANIEL ZOVATTO.</w:t>
      </w:r>
    </w:p>
    <w:p w14:paraId="5A096167" w14:textId="77777777" w:rsidR="00BF2E7F" w:rsidRPr="00CD5A7D" w:rsidRDefault="00BF2E7F" w:rsidP="00CD5A7D">
      <w:pPr>
        <w:spacing w:line="360" w:lineRule="auto"/>
        <w:jc w:val="both"/>
        <w:rPr>
          <w:rStyle w:val="Ninguno"/>
          <w:rFonts w:eastAsia="Arial" w:hAnsi="Times New Roman" w:cs="Times New Roman"/>
        </w:rPr>
      </w:pPr>
      <w:r w:rsidRPr="00CD5A7D">
        <w:rPr>
          <w:rStyle w:val="Ninguno"/>
          <w:rFonts w:hAnsi="Times New Roman" w:cs="Times New Roman"/>
        </w:rPr>
        <w:t>26. Derecho Electoral Mexicano;</w:t>
      </w:r>
      <w:r w:rsidR="00CD5A7D" w:rsidRPr="00CD5A7D">
        <w:rPr>
          <w:rStyle w:val="Ninguno"/>
          <w:rFonts w:hAnsi="Times New Roman" w:cs="Times New Roman"/>
        </w:rPr>
        <w:t xml:space="preserve"> </w:t>
      </w:r>
      <w:r w:rsidRPr="00CD5A7D">
        <w:rPr>
          <w:rStyle w:val="Ninguno"/>
          <w:rFonts w:hAnsi="Times New Roman" w:cs="Times New Roman"/>
        </w:rPr>
        <w:t>Libro de texto,</w:t>
      </w:r>
      <w:r w:rsidR="00CD5A7D" w:rsidRPr="00CD5A7D">
        <w:rPr>
          <w:rStyle w:val="Ninguno"/>
          <w:rFonts w:hAnsi="Times New Roman" w:cs="Times New Roman"/>
        </w:rPr>
        <w:t xml:space="preserve"> </w:t>
      </w:r>
      <w:r w:rsidRPr="00CD5A7D">
        <w:rPr>
          <w:rStyle w:val="Ninguno"/>
          <w:rFonts w:hAnsi="Times New Roman" w:cs="Times New Roman"/>
        </w:rPr>
        <w:t>Centro de Capacitación Judicial Electoral.</w:t>
      </w:r>
    </w:p>
    <w:p w14:paraId="34EA8270" w14:textId="77777777" w:rsidR="00BF2E7F" w:rsidRPr="00CD5A7D" w:rsidRDefault="00BF2E7F" w:rsidP="00CD5A7D">
      <w:pPr>
        <w:spacing w:line="360" w:lineRule="auto"/>
        <w:jc w:val="both"/>
        <w:rPr>
          <w:rStyle w:val="Ninguno"/>
          <w:rFonts w:eastAsia="Arial" w:hAnsi="Times New Roman" w:cs="Times New Roman"/>
        </w:rPr>
      </w:pPr>
      <w:r w:rsidRPr="00CD5A7D">
        <w:rPr>
          <w:rStyle w:val="Ninguno"/>
          <w:rFonts w:hAnsi="Times New Roman" w:cs="Times New Roman"/>
        </w:rPr>
        <w:t>27. Equidad en la Contienda Electoral;</w:t>
      </w:r>
      <w:r w:rsidR="00CD5A7D" w:rsidRPr="00CD5A7D">
        <w:rPr>
          <w:rStyle w:val="Ninguno"/>
          <w:rFonts w:hAnsi="Times New Roman" w:cs="Times New Roman"/>
        </w:rPr>
        <w:t xml:space="preserve"> </w:t>
      </w:r>
      <w:r w:rsidRPr="00CD5A7D">
        <w:rPr>
          <w:rStyle w:val="Ninguno"/>
          <w:rFonts w:hAnsi="Times New Roman" w:cs="Times New Roman"/>
        </w:rPr>
        <w:t>Conferencia disertada por invitación del Tribunal Electoral del Estado de Guerrero, el 19 de septiembre de 2008, en el auditorio “Sentimientos de la Nación”,</w:t>
      </w:r>
      <w:r w:rsidR="00CD5A7D" w:rsidRPr="00CD5A7D">
        <w:rPr>
          <w:rStyle w:val="Ninguno"/>
          <w:rFonts w:hAnsi="Times New Roman" w:cs="Times New Roman"/>
        </w:rPr>
        <w:t xml:space="preserve"> </w:t>
      </w:r>
      <w:r w:rsidRPr="00CD5A7D">
        <w:rPr>
          <w:rStyle w:val="Ninguno"/>
          <w:rFonts w:hAnsi="Times New Roman" w:cs="Times New Roman"/>
        </w:rPr>
        <w:t>por Flavio Galván Rivera, Magistrado de la Sala Superior del Tribunal Electoral del Poder Judicial de la Federación.</w:t>
      </w:r>
    </w:p>
    <w:p w14:paraId="239ACA3F" w14:textId="77777777" w:rsidR="00BF2E7F" w:rsidRPr="00CD5A7D" w:rsidRDefault="00BF2E7F" w:rsidP="00CD5A7D">
      <w:pPr>
        <w:spacing w:line="360" w:lineRule="auto"/>
        <w:jc w:val="both"/>
        <w:rPr>
          <w:rStyle w:val="Ninguno"/>
          <w:rFonts w:eastAsia="Arial" w:hAnsi="Times New Roman" w:cs="Times New Roman"/>
        </w:rPr>
      </w:pPr>
      <w:r w:rsidRPr="00CD5A7D">
        <w:rPr>
          <w:rStyle w:val="Ninguno"/>
          <w:rFonts w:hAnsi="Times New Roman" w:cs="Times New Roman"/>
        </w:rPr>
        <w:t>28. Equidad en la Contienda Electoral: CRITERIOS JURISPRUDENCIALES. Tribunal Electoral del Poder Judicial de la Federación.</w:t>
      </w:r>
    </w:p>
    <w:p w14:paraId="044D9846" w14:textId="77777777" w:rsidR="00BF2E7F" w:rsidRPr="00CD5A7D" w:rsidRDefault="00BF2E7F" w:rsidP="00CD5A7D">
      <w:pPr>
        <w:spacing w:line="360" w:lineRule="auto"/>
        <w:jc w:val="both"/>
        <w:rPr>
          <w:rStyle w:val="Ninguno"/>
          <w:rFonts w:eastAsia="Arial" w:hAnsi="Times New Roman" w:cs="Times New Roman"/>
        </w:rPr>
      </w:pPr>
      <w:r w:rsidRPr="00CD5A7D">
        <w:rPr>
          <w:rStyle w:val="Ninguno"/>
          <w:rFonts w:hAnsi="Times New Roman" w:cs="Times New Roman"/>
        </w:rPr>
        <w:t xml:space="preserve">29. La crisis de la partidocracia en </w:t>
      </w:r>
      <w:proofErr w:type="spellStart"/>
      <w:r w:rsidRPr="00CD5A7D">
        <w:rPr>
          <w:rStyle w:val="Ninguno"/>
          <w:rFonts w:hAnsi="Times New Roman" w:cs="Times New Roman"/>
        </w:rPr>
        <w:t>Mexico</w:t>
      </w:r>
      <w:proofErr w:type="spellEnd"/>
      <w:r w:rsidRPr="00CD5A7D">
        <w:rPr>
          <w:rStyle w:val="Ninguno"/>
          <w:rFonts w:hAnsi="Times New Roman" w:cs="Times New Roman"/>
        </w:rPr>
        <w:t xml:space="preserve">, </w:t>
      </w:r>
      <w:proofErr w:type="spellStart"/>
      <w:r w:rsidRPr="00CD5A7D">
        <w:rPr>
          <w:rStyle w:val="Ninguno"/>
          <w:rFonts w:hAnsi="Times New Roman" w:cs="Times New Roman"/>
        </w:rPr>
        <w:t>Raul</w:t>
      </w:r>
      <w:proofErr w:type="spellEnd"/>
      <w:r w:rsidRPr="00CD5A7D">
        <w:rPr>
          <w:rStyle w:val="Ninguno"/>
          <w:rFonts w:hAnsi="Times New Roman" w:cs="Times New Roman"/>
        </w:rPr>
        <w:t xml:space="preserve"> Contreras </w:t>
      </w:r>
      <w:proofErr w:type="spellStart"/>
      <w:r w:rsidRPr="00CD5A7D">
        <w:rPr>
          <w:rStyle w:val="Ninguno"/>
          <w:rFonts w:hAnsi="Times New Roman" w:cs="Times New Roman"/>
        </w:rPr>
        <w:t>Bustamente</w:t>
      </w:r>
      <w:proofErr w:type="spellEnd"/>
      <w:r w:rsidRPr="00CD5A7D">
        <w:rPr>
          <w:rStyle w:val="Ninguno"/>
          <w:rFonts w:hAnsi="Times New Roman" w:cs="Times New Roman"/>
        </w:rPr>
        <w:t>.</w:t>
      </w:r>
    </w:p>
    <w:p w14:paraId="2FD7708D" w14:textId="77777777" w:rsidR="00BF2E7F" w:rsidRPr="00CD5A7D" w:rsidRDefault="00BF2E7F" w:rsidP="00CD5A7D">
      <w:pPr>
        <w:spacing w:line="360" w:lineRule="auto"/>
        <w:jc w:val="both"/>
        <w:rPr>
          <w:rStyle w:val="Ninguno"/>
          <w:rFonts w:eastAsia="Arial" w:hAnsi="Times New Roman" w:cs="Times New Roman"/>
        </w:rPr>
      </w:pPr>
      <w:r w:rsidRPr="00CD5A7D">
        <w:rPr>
          <w:rStyle w:val="Ninguno"/>
          <w:rFonts w:hAnsi="Times New Roman" w:cs="Times New Roman"/>
        </w:rPr>
        <w:t xml:space="preserve">30. Los principios constitucionales de la materia electoral en </w:t>
      </w:r>
      <w:proofErr w:type="spellStart"/>
      <w:r w:rsidRPr="00CD5A7D">
        <w:rPr>
          <w:rStyle w:val="Ninguno"/>
          <w:rFonts w:hAnsi="Times New Roman" w:cs="Times New Roman"/>
        </w:rPr>
        <w:t>Mexico</w:t>
      </w:r>
      <w:proofErr w:type="spellEnd"/>
      <w:r w:rsidRPr="00CD5A7D">
        <w:rPr>
          <w:rStyle w:val="Ninguno"/>
          <w:rFonts w:hAnsi="Times New Roman" w:cs="Times New Roman"/>
        </w:rPr>
        <w:t xml:space="preserve">. Guillermo Sierra fuentes: Coordinador Jurídico del Tribunal Estatal Electoral de Chihuahua, y Víctor Yuri Zapata </w:t>
      </w:r>
      <w:proofErr w:type="spellStart"/>
      <w:r w:rsidRPr="00CD5A7D">
        <w:rPr>
          <w:rStyle w:val="Ninguno"/>
          <w:rFonts w:hAnsi="Times New Roman" w:cs="Times New Roman"/>
        </w:rPr>
        <w:t>Leos</w:t>
      </w:r>
      <w:proofErr w:type="spellEnd"/>
      <w:r w:rsidRPr="00CD5A7D">
        <w:rPr>
          <w:rStyle w:val="Ninguno"/>
          <w:rFonts w:hAnsi="Times New Roman" w:cs="Times New Roman"/>
        </w:rPr>
        <w:t>, Secretario de Estudio y Cuenta</w:t>
      </w:r>
      <w:r w:rsidR="00CD5A7D" w:rsidRPr="00CD5A7D">
        <w:rPr>
          <w:rStyle w:val="Ninguno"/>
          <w:rFonts w:hAnsi="Times New Roman" w:cs="Times New Roman"/>
        </w:rPr>
        <w:t xml:space="preserve"> </w:t>
      </w:r>
      <w:r w:rsidRPr="00CD5A7D">
        <w:rPr>
          <w:rStyle w:val="Ninguno"/>
          <w:rFonts w:hAnsi="Times New Roman" w:cs="Times New Roman"/>
        </w:rPr>
        <w:t>del Tribunal Estatal Electoral de Chihuahua.</w:t>
      </w:r>
    </w:p>
    <w:p w14:paraId="770590C2" w14:textId="77777777" w:rsidR="00BF2E7F" w:rsidRPr="00CD5A7D" w:rsidRDefault="00BF2E7F" w:rsidP="00CD5A7D">
      <w:pPr>
        <w:spacing w:line="360" w:lineRule="auto"/>
        <w:jc w:val="both"/>
        <w:rPr>
          <w:rStyle w:val="Ninguno"/>
          <w:rFonts w:eastAsia="Arial" w:hAnsi="Times New Roman" w:cs="Times New Roman"/>
        </w:rPr>
      </w:pPr>
      <w:r w:rsidRPr="00CD5A7D">
        <w:rPr>
          <w:rStyle w:val="Ninguno"/>
          <w:rFonts w:hAnsi="Times New Roman" w:cs="Times New Roman"/>
        </w:rPr>
        <w:t xml:space="preserve">31. El nuevo </w:t>
      </w:r>
      <w:proofErr w:type="spellStart"/>
      <w:r w:rsidRPr="00CD5A7D">
        <w:rPr>
          <w:rStyle w:val="Ninguno"/>
          <w:rFonts w:hAnsi="Times New Roman" w:cs="Times New Roman"/>
        </w:rPr>
        <w:t>regimen</w:t>
      </w:r>
      <w:proofErr w:type="spellEnd"/>
      <w:r w:rsidRPr="00CD5A7D">
        <w:rPr>
          <w:rStyle w:val="Ninguno"/>
          <w:rFonts w:hAnsi="Times New Roman" w:cs="Times New Roman"/>
        </w:rPr>
        <w:t xml:space="preserve"> jurídico de las coaliciones electorales en el ámbito federal. Alejandro Olvera Acevedo: Profesor de Derecho electoral en la Facultad de Derecho de la UNAM, Secretario Auxiliar del Tribunal Electoral del Poder Judicial de la Federación.</w:t>
      </w:r>
    </w:p>
    <w:p w14:paraId="2B8F63E1" w14:textId="77777777" w:rsidR="00BF2E7F" w:rsidRPr="00CD5A7D" w:rsidRDefault="00BF2E7F" w:rsidP="00CD5A7D">
      <w:pPr>
        <w:spacing w:line="360" w:lineRule="auto"/>
        <w:jc w:val="both"/>
        <w:rPr>
          <w:rStyle w:val="Ninguno"/>
          <w:rFonts w:eastAsia="Arial" w:hAnsi="Times New Roman" w:cs="Times New Roman"/>
        </w:rPr>
      </w:pPr>
      <w:r w:rsidRPr="00CD5A7D">
        <w:rPr>
          <w:rStyle w:val="Ninguno"/>
          <w:rFonts w:hAnsi="Times New Roman" w:cs="Times New Roman"/>
        </w:rPr>
        <w:t>PARTICIPACIÓN POLÍTICA, biblioteca católica digital.</w:t>
      </w:r>
    </w:p>
    <w:p w14:paraId="36F77CE4" w14:textId="77777777" w:rsidR="00BF2E7F" w:rsidRPr="00CD5A7D" w:rsidRDefault="00BF2E7F" w:rsidP="00CD5A7D">
      <w:pPr>
        <w:spacing w:line="360" w:lineRule="auto"/>
        <w:jc w:val="both"/>
        <w:rPr>
          <w:rStyle w:val="Ninguno"/>
          <w:rFonts w:eastAsia="Arial" w:hAnsi="Times New Roman" w:cs="Times New Roman"/>
        </w:rPr>
      </w:pPr>
      <w:r w:rsidRPr="00CD5A7D">
        <w:rPr>
          <w:rStyle w:val="Ninguno"/>
          <w:rFonts w:hAnsi="Times New Roman" w:cs="Times New Roman"/>
        </w:rPr>
        <w:t>32. El Principio De Equidad En La Contienda Electoral Y La Libertad De Expresión De Los Precandidatos Únicos en Precampaña Electoral; Luis E. Delgado del Rincón, Profesor Titular de Derecho Constitucional, Universidad de Burgos.</w:t>
      </w:r>
    </w:p>
    <w:p w14:paraId="4F7EFB9D" w14:textId="77777777" w:rsidR="00BF2E7F" w:rsidRPr="00CD5A7D" w:rsidRDefault="00BF2E7F" w:rsidP="00CD5A7D">
      <w:pPr>
        <w:spacing w:line="360" w:lineRule="auto"/>
        <w:jc w:val="both"/>
        <w:rPr>
          <w:rFonts w:eastAsia="Arial" w:hAnsi="Times New Roman" w:cs="Times New Roman"/>
        </w:rPr>
      </w:pPr>
      <w:r w:rsidRPr="00CD5A7D">
        <w:rPr>
          <w:rStyle w:val="Ninguno"/>
          <w:rFonts w:hAnsi="Times New Roman" w:cs="Times New Roman"/>
        </w:rPr>
        <w:t xml:space="preserve">33. Principio De Equidad Procesal; Héctor Ramón Peñaranda Quintero Universidad de </w:t>
      </w:r>
      <w:proofErr w:type="spellStart"/>
      <w:r w:rsidRPr="00CD5A7D">
        <w:rPr>
          <w:rStyle w:val="Ninguno"/>
          <w:rFonts w:hAnsi="Times New Roman" w:cs="Times New Roman"/>
        </w:rPr>
        <w:t>Zulía</w:t>
      </w:r>
      <w:proofErr w:type="spellEnd"/>
      <w:r w:rsidRPr="00CD5A7D">
        <w:rPr>
          <w:rStyle w:val="Ninguno"/>
          <w:rFonts w:hAnsi="Times New Roman" w:cs="Times New Roman"/>
        </w:rPr>
        <w:t>, Venezuela.</w:t>
      </w:r>
    </w:p>
    <w:p w14:paraId="55878622"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Legislación:</w:t>
      </w:r>
    </w:p>
    <w:p w14:paraId="4B31A6DC" w14:textId="77777777" w:rsidR="00245F4D" w:rsidRPr="00CD5A7D" w:rsidRDefault="00BF2E7F" w:rsidP="00CD5A7D">
      <w:pPr>
        <w:spacing w:line="360" w:lineRule="auto"/>
        <w:jc w:val="both"/>
        <w:rPr>
          <w:rFonts w:hAnsi="Times New Roman" w:cs="Times New Roman"/>
        </w:rPr>
      </w:pPr>
      <w:r w:rsidRPr="00CD5A7D">
        <w:rPr>
          <w:rFonts w:hAnsi="Times New Roman" w:cs="Times New Roman"/>
        </w:rPr>
        <w:t>34. Constitución Política De Lo</w:t>
      </w:r>
      <w:r w:rsidR="00245F4D" w:rsidRPr="00CD5A7D">
        <w:rPr>
          <w:rFonts w:hAnsi="Times New Roman" w:cs="Times New Roman"/>
        </w:rPr>
        <w:t>s Estados Unidos Mexicanos, 2020</w:t>
      </w:r>
    </w:p>
    <w:p w14:paraId="4ADB1DF6"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.Ley General De Instituc</w:t>
      </w:r>
      <w:r w:rsidR="00245F4D" w:rsidRPr="00CD5A7D">
        <w:rPr>
          <w:rFonts w:hAnsi="Times New Roman" w:cs="Times New Roman"/>
        </w:rPr>
        <w:t>iones Y Partidos Políticos, 2020</w:t>
      </w:r>
    </w:p>
    <w:p w14:paraId="5319509D"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35. Ley Gen</w:t>
      </w:r>
      <w:r w:rsidR="00245F4D" w:rsidRPr="00CD5A7D">
        <w:rPr>
          <w:rFonts w:hAnsi="Times New Roman" w:cs="Times New Roman"/>
        </w:rPr>
        <w:t>eral De Partidos Políticos, 2020</w:t>
      </w:r>
    </w:p>
    <w:p w14:paraId="0D36869B"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36. Constitución Polí</w:t>
      </w:r>
      <w:r w:rsidR="00245F4D" w:rsidRPr="00CD5A7D">
        <w:rPr>
          <w:rFonts w:hAnsi="Times New Roman" w:cs="Times New Roman"/>
        </w:rPr>
        <w:t>tica Del Estado De Morelos, 2020</w:t>
      </w:r>
    </w:p>
    <w:p w14:paraId="7FD6AD8A"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 xml:space="preserve">37. Código De Instituciones Y Procedimientos Electorales </w:t>
      </w:r>
      <w:r w:rsidR="00245F4D" w:rsidRPr="00CD5A7D">
        <w:rPr>
          <w:rFonts w:hAnsi="Times New Roman" w:cs="Times New Roman"/>
        </w:rPr>
        <w:t>para el Estado de Morelos , 2020</w:t>
      </w:r>
    </w:p>
    <w:p w14:paraId="69CC810A"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Ley General del Sistema de Medios de Impugnación en Materia Electoral</w:t>
      </w:r>
    </w:p>
    <w:p w14:paraId="657F4ADA" w14:textId="77777777" w:rsidR="00BF2E7F" w:rsidRPr="00CD5A7D" w:rsidRDefault="00BF2E7F" w:rsidP="00CD5A7D">
      <w:pPr>
        <w:spacing w:line="360" w:lineRule="auto"/>
        <w:jc w:val="both"/>
        <w:rPr>
          <w:rFonts w:eastAsia="Arial" w:hAnsi="Times New Roman" w:cs="Times New Roman"/>
        </w:rPr>
      </w:pPr>
      <w:r w:rsidRPr="00CD5A7D">
        <w:rPr>
          <w:rFonts w:hAnsi="Times New Roman" w:cs="Times New Roman"/>
        </w:rPr>
        <w:t>http://www2.scjn.gob.mx/red/leyes/</w:t>
      </w:r>
    </w:p>
    <w:p w14:paraId="5F676E73" w14:textId="77777777" w:rsidR="00BF2E7F" w:rsidRPr="00CD5A7D" w:rsidRDefault="00BF2E7F" w:rsidP="00CD5A7D">
      <w:pPr>
        <w:spacing w:line="360" w:lineRule="auto"/>
        <w:jc w:val="both"/>
        <w:rPr>
          <w:rFonts w:eastAsia="Arial" w:hAnsi="Times New Roman" w:cs="Times New Roman"/>
        </w:rPr>
      </w:pPr>
    </w:p>
    <w:p w14:paraId="1E052924" w14:textId="77777777" w:rsidR="00BF2E7F" w:rsidRPr="00CD5A7D" w:rsidRDefault="00BF2E7F" w:rsidP="00CD5A7D">
      <w:pPr>
        <w:spacing w:line="360" w:lineRule="auto"/>
        <w:jc w:val="both"/>
        <w:rPr>
          <w:rFonts w:eastAsia="Arial" w:hAnsi="Times New Roman" w:cs="Times New Roman"/>
        </w:rPr>
      </w:pPr>
    </w:p>
    <w:p w14:paraId="47080B1E" w14:textId="77777777" w:rsidR="00BF2E7F" w:rsidRPr="00CD5A7D" w:rsidRDefault="00BF2E7F" w:rsidP="00CD5A7D">
      <w:pPr>
        <w:spacing w:line="360" w:lineRule="auto"/>
        <w:jc w:val="both"/>
        <w:rPr>
          <w:rFonts w:hAnsi="Times New Roman" w:cs="Times New Roman"/>
        </w:rPr>
      </w:pPr>
    </w:p>
    <w:p w14:paraId="1A9F4ADA" w14:textId="77777777" w:rsidR="00F81E22" w:rsidRPr="00CD5A7D" w:rsidRDefault="00F81E22" w:rsidP="00CD5A7D">
      <w:pPr>
        <w:spacing w:line="360" w:lineRule="auto"/>
        <w:rPr>
          <w:rFonts w:hAnsi="Times New Roman" w:cs="Times New Roman"/>
        </w:rPr>
      </w:pPr>
    </w:p>
    <w:sectPr w:rsidR="00F81E22" w:rsidRPr="00CD5A7D" w:rsidSect="006509A4">
      <w:headerReference w:type="even" r:id="rId11"/>
      <w:headerReference w:type="default" r:id="rId12"/>
      <w:footerReference w:type="even" r:id="rId13"/>
      <w:footerReference w:type="default" r:id="rId14"/>
      <w:pgSz w:w="12240" w:h="15840"/>
      <w:pgMar w:top="1418" w:right="1701" w:bottom="1418" w:left="1701" w:header="709" w:footer="85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A80D6" w14:textId="77777777" w:rsidR="00B70314" w:rsidRDefault="00B70314">
      <w:r>
        <w:separator/>
      </w:r>
    </w:p>
  </w:endnote>
  <w:endnote w:type="continuationSeparator" w:id="0">
    <w:p w14:paraId="1BB3AA9F" w14:textId="77777777" w:rsidR="00B70314" w:rsidRDefault="00B70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Unicode MS">
    <w:altName w:val="Malgun Gothic Semilight"/>
    <w:panose1 w:val="020B0604020202020204"/>
    <w:charset w:val="00"/>
    <w:family w:val="auto"/>
    <w:pitch w:val="variable"/>
    <w:sig w:usb0="00000000"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A9E65" w14:textId="77777777" w:rsidR="00837807" w:rsidRDefault="00837807" w:rsidP="0083780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F9B8719" w14:textId="77777777" w:rsidR="00837807" w:rsidRDefault="00837807" w:rsidP="00CD5A7D">
    <w:pPr>
      <w:pStyle w:val="Cabeceraypi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80C2B" w14:textId="37948B61" w:rsidR="00837807" w:rsidRDefault="00837807" w:rsidP="0083780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33FFE">
      <w:rPr>
        <w:rStyle w:val="Nmerodepgina"/>
        <w:noProof/>
      </w:rPr>
      <w:t>17</w:t>
    </w:r>
    <w:r>
      <w:rPr>
        <w:rStyle w:val="Nmerodepgina"/>
      </w:rPr>
      <w:fldChar w:fldCharType="end"/>
    </w:r>
  </w:p>
  <w:p w14:paraId="2707B519" w14:textId="77777777" w:rsidR="00837807" w:rsidRDefault="00837807" w:rsidP="00CD5A7D">
    <w:pPr>
      <w:pStyle w:val="Cabeceraypi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0A550" w14:textId="77777777" w:rsidR="00B70314" w:rsidRDefault="00B70314">
      <w:r>
        <w:separator/>
      </w:r>
    </w:p>
  </w:footnote>
  <w:footnote w:type="continuationSeparator" w:id="0">
    <w:p w14:paraId="2049E014" w14:textId="77777777" w:rsidR="00B70314" w:rsidRDefault="00B70314">
      <w:r>
        <w:continuationSeparator/>
      </w:r>
    </w:p>
  </w:footnote>
  <w:footnote w:id="1">
    <w:p w14:paraId="53D1BFCE" w14:textId="77777777" w:rsidR="00837807" w:rsidRDefault="00837807" w:rsidP="0060040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Theme="minorHAnsi" w:hAnsi="Times New Roman" w:cs="Times New Roman"/>
          <w:color w:val="auto"/>
          <w:sz w:val="20"/>
          <w:szCs w:val="20"/>
          <w:bdr w:val="none" w:sz="0" w:space="0" w:color="auto"/>
          <w:lang w:val="es-ES"/>
        </w:rPr>
      </w:pPr>
      <w:r w:rsidRPr="002A035A">
        <w:rPr>
          <w:rStyle w:val="Refdenotaalpie"/>
          <w:rFonts w:hAnsi="Times New Roman" w:cs="Times New Roman"/>
          <w:sz w:val="20"/>
          <w:szCs w:val="20"/>
        </w:rPr>
        <w:footnoteRef/>
      </w:r>
      <w:r w:rsidRPr="002A035A">
        <w:rPr>
          <w:rFonts w:hAnsi="Times New Roman" w:cs="Times New Roman"/>
          <w:sz w:val="20"/>
          <w:szCs w:val="20"/>
        </w:rPr>
        <w:t xml:space="preserve"> </w:t>
      </w:r>
      <w:r w:rsidRPr="002A035A">
        <w:rPr>
          <w:rFonts w:eastAsiaTheme="minorHAnsi" w:hAnsi="Times New Roman" w:cs="Times New Roman"/>
          <w:color w:val="auto"/>
          <w:sz w:val="20"/>
          <w:szCs w:val="20"/>
          <w:bdr w:val="none" w:sz="0" w:space="0" w:color="auto"/>
          <w:lang w:val="es-ES"/>
        </w:rPr>
        <w:t>Magistrada Titular de la Ponencia Tres del Tribunal Electoral del Estado de Morelos y consejera e</w:t>
      </w:r>
      <w:r>
        <w:rPr>
          <w:rFonts w:eastAsiaTheme="minorHAnsi" w:hAnsi="Times New Roman" w:cs="Times New Roman"/>
          <w:color w:val="auto"/>
          <w:sz w:val="20"/>
          <w:szCs w:val="20"/>
          <w:bdr w:val="none" w:sz="0" w:space="0" w:color="auto"/>
          <w:lang w:val="es-ES"/>
        </w:rPr>
        <w:t xml:space="preserve">lectoral </w:t>
      </w:r>
      <w:r w:rsidRPr="00600403">
        <w:rPr>
          <w:rFonts w:eastAsiaTheme="minorHAnsi" w:hAnsi="Times New Roman" w:cs="Times New Roman"/>
          <w:color w:val="auto"/>
          <w:sz w:val="20"/>
          <w:szCs w:val="20"/>
          <w:bdr w:val="none" w:sz="0" w:space="0" w:color="auto"/>
          <w:lang w:val="es-ES"/>
        </w:rPr>
        <w:t xml:space="preserve">del </w:t>
      </w:r>
      <w:proofErr w:type="spellStart"/>
      <w:r w:rsidRPr="00600403">
        <w:rPr>
          <w:rFonts w:eastAsiaTheme="minorHAnsi" w:hAnsi="Times New Roman" w:cs="Times New Roman"/>
          <w:color w:val="auto"/>
          <w:sz w:val="20"/>
          <w:szCs w:val="20"/>
          <w:bdr w:val="none" w:sz="0" w:space="0" w:color="auto"/>
          <w:lang w:val="es-ES"/>
        </w:rPr>
        <w:t>Impepac</w:t>
      </w:r>
      <w:proofErr w:type="spellEnd"/>
      <w:r w:rsidRPr="00600403">
        <w:rPr>
          <w:rFonts w:eastAsiaTheme="minorHAnsi" w:hAnsi="Times New Roman" w:cs="Times New Roman"/>
          <w:color w:val="auto"/>
          <w:sz w:val="20"/>
          <w:szCs w:val="20"/>
          <w:bdr w:val="none" w:sz="0" w:space="0" w:color="auto"/>
          <w:lang w:val="es-ES"/>
        </w:rPr>
        <w:t xml:space="preserve"> 2014-2019.</w:t>
      </w:r>
    </w:p>
    <w:p w14:paraId="242B7C48" w14:textId="30B82DE2" w:rsidR="00837807" w:rsidRPr="00600403" w:rsidRDefault="00837807" w:rsidP="0060040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Theme="minorHAnsi" w:hAnsi="Times New Roman" w:cs="Times New Roman"/>
          <w:color w:val="auto"/>
          <w:sz w:val="20"/>
          <w:szCs w:val="20"/>
          <w:bdr w:val="none" w:sz="0" w:space="0" w:color="auto"/>
          <w:lang w:val="es-ES"/>
        </w:rPr>
      </w:pPr>
      <w:r w:rsidRPr="00600403">
        <w:rPr>
          <w:rFonts w:eastAsia="Arial" w:hAnsi="Times New Roman" w:cs="Times New Roman"/>
          <w:sz w:val="20"/>
          <w:szCs w:val="20"/>
          <w:vertAlign w:val="superscript"/>
        </w:rPr>
        <w:t>2</w:t>
      </w:r>
      <w:r w:rsidRPr="00600403">
        <w:rPr>
          <w:rFonts w:eastAsia="Arial" w:hAnsi="Times New Roman" w:cs="Times New Roman"/>
          <w:sz w:val="20"/>
          <w:szCs w:val="20"/>
        </w:rPr>
        <w:t xml:space="preserve"> Profesora investigadora de la UAM-X, consejera electoral del </w:t>
      </w:r>
      <w:proofErr w:type="spellStart"/>
      <w:r w:rsidRPr="00600403">
        <w:rPr>
          <w:rFonts w:eastAsia="Arial" w:hAnsi="Times New Roman" w:cs="Times New Roman"/>
          <w:sz w:val="20"/>
          <w:szCs w:val="20"/>
        </w:rPr>
        <w:t>Impepac</w:t>
      </w:r>
      <w:proofErr w:type="spellEnd"/>
      <w:r w:rsidRPr="00600403">
        <w:rPr>
          <w:rFonts w:eastAsia="Arial" w:hAnsi="Times New Roman" w:cs="Times New Roman"/>
          <w:sz w:val="20"/>
          <w:szCs w:val="20"/>
        </w:rPr>
        <w:t xml:space="preserve"> 2014-2017.</w:t>
      </w:r>
    </w:p>
    <w:p w14:paraId="3D0DF207" w14:textId="46738D98" w:rsidR="00837807" w:rsidRPr="002A035A" w:rsidRDefault="00837807">
      <w:pPr>
        <w:pStyle w:val="Textonotapie"/>
        <w:rPr>
          <w:lang w:val="es-ES_tradnl"/>
        </w:rPr>
      </w:pPr>
    </w:p>
  </w:footnote>
  <w:footnote w:id="2">
    <w:p w14:paraId="7AAAB5E1" w14:textId="77777777" w:rsidR="00837807" w:rsidRPr="002A035A" w:rsidRDefault="00837807" w:rsidP="00985E3E">
      <w:pPr>
        <w:pStyle w:val="Textonotapie"/>
        <w:rPr>
          <w:lang w:val="es-ES"/>
        </w:rPr>
      </w:pPr>
      <w:r w:rsidRPr="002A035A">
        <w:rPr>
          <w:rStyle w:val="Refdenotaalpie"/>
        </w:rPr>
        <w:footnoteRef/>
      </w:r>
      <w:r w:rsidRPr="002A035A">
        <w:t xml:space="preserve"> </w:t>
      </w:r>
      <w:r w:rsidRPr="002A035A">
        <w:rPr>
          <w:lang w:val="es-ES"/>
        </w:rPr>
        <w:t>CANDIDATURAS INDEPENDIENTES, Manuel González Oropeza, Ensayos, Biblioteca Jurídica UNAM, pág. 44.</w:t>
      </w:r>
    </w:p>
  </w:footnote>
  <w:footnote w:id="3">
    <w:p w14:paraId="02107D11" w14:textId="77777777" w:rsidR="00837807" w:rsidRPr="002A035A" w:rsidRDefault="00837807" w:rsidP="00F807AA">
      <w:pPr>
        <w:pStyle w:val="Textonotapie"/>
        <w:rPr>
          <w:lang w:val="es-ES"/>
        </w:rPr>
      </w:pPr>
      <w:r w:rsidRPr="002A035A">
        <w:rPr>
          <w:rStyle w:val="Refdenotaalpie"/>
        </w:rPr>
        <w:footnoteRef/>
      </w:r>
      <w:r w:rsidRPr="002A035A">
        <w:t xml:space="preserve"> </w:t>
      </w:r>
      <w:r w:rsidRPr="002A035A">
        <w:rPr>
          <w:lang w:val="es-ES"/>
        </w:rPr>
        <w:t>TRIBUNAL ELECTORAL DEL PODER JUDICIAL DE LA FEDERACION, Partidos Políticos, Manual del Participante, México, Distrito Federal, marzo de 2011, p. 8</w:t>
      </w:r>
    </w:p>
  </w:footnote>
  <w:footnote w:id="4">
    <w:p w14:paraId="4D9AA042" w14:textId="77777777" w:rsidR="00837807" w:rsidRPr="002A035A" w:rsidRDefault="00837807" w:rsidP="00F807AA">
      <w:pPr>
        <w:pStyle w:val="Textonotapie"/>
        <w:rPr>
          <w:lang w:val="es-ES"/>
        </w:rPr>
      </w:pPr>
      <w:r w:rsidRPr="002A035A">
        <w:rPr>
          <w:rStyle w:val="Refdenotaalpie"/>
        </w:rPr>
        <w:footnoteRef/>
      </w:r>
      <w:r w:rsidRPr="002A035A">
        <w:t xml:space="preserve"> </w:t>
      </w:r>
      <w:r w:rsidRPr="002A035A">
        <w:rPr>
          <w:lang w:val="es-ES"/>
        </w:rPr>
        <w:t>IDEM</w:t>
      </w:r>
    </w:p>
  </w:footnote>
  <w:footnote w:id="5">
    <w:p w14:paraId="4002EED4" w14:textId="77777777" w:rsidR="00837807" w:rsidRPr="002A035A" w:rsidRDefault="00837807" w:rsidP="00F807AA">
      <w:pPr>
        <w:pStyle w:val="Textonotapie"/>
        <w:rPr>
          <w:lang w:val="es-ES"/>
        </w:rPr>
      </w:pPr>
      <w:r w:rsidRPr="002A035A">
        <w:rPr>
          <w:rStyle w:val="Refdenotaalpie"/>
        </w:rPr>
        <w:footnoteRef/>
      </w:r>
      <w:r w:rsidRPr="002A035A">
        <w:t xml:space="preserve"> IDEM</w:t>
      </w:r>
    </w:p>
  </w:footnote>
  <w:footnote w:id="6">
    <w:p w14:paraId="4B91063E" w14:textId="77777777" w:rsidR="00837807" w:rsidRPr="002A035A" w:rsidRDefault="00837807" w:rsidP="00F807AA">
      <w:pPr>
        <w:pStyle w:val="Textonotapie"/>
        <w:rPr>
          <w:lang w:val="es-ES"/>
        </w:rPr>
      </w:pPr>
      <w:r w:rsidRPr="002A035A">
        <w:rPr>
          <w:rStyle w:val="Refdenotaalpie"/>
        </w:rPr>
        <w:footnoteRef/>
      </w:r>
      <w:r w:rsidRPr="002A035A">
        <w:t xml:space="preserve"> I. Kant, Grundlegung zur Metaphysik der Sitten, Kants Gesammelte Werke, Akademie der Wissenschaften, Berlin, 1911, Bd. 4, p. 416.</w:t>
      </w:r>
    </w:p>
  </w:footnote>
  <w:footnote w:id="7">
    <w:p w14:paraId="15A96074" w14:textId="77777777" w:rsidR="00837807" w:rsidRPr="002A035A" w:rsidRDefault="00837807" w:rsidP="00F807AA">
      <w:pPr>
        <w:pStyle w:val="Textonotapie"/>
        <w:rPr>
          <w:lang w:val="es-ES"/>
        </w:rPr>
      </w:pPr>
      <w:r w:rsidRPr="002A035A">
        <w:rPr>
          <w:rStyle w:val="Refdenotaalpie"/>
        </w:rPr>
        <w:footnoteRef/>
      </w:r>
      <w:r w:rsidRPr="002A035A">
        <w:t xml:space="preserve"> Luciano Parejo Alfonso, </w:t>
      </w:r>
      <w:r w:rsidRPr="002A035A">
        <w:rPr>
          <w:i/>
        </w:rPr>
        <w:t>Interés público como criterio de control de la actividad administrativa</w:t>
      </w:r>
      <w:r w:rsidRPr="002A035A">
        <w:t>., p. 16</w:t>
      </w:r>
    </w:p>
  </w:footnote>
  <w:footnote w:id="8">
    <w:p w14:paraId="1DE5F325" w14:textId="77777777" w:rsidR="00837807" w:rsidRPr="0098696A" w:rsidRDefault="00837807" w:rsidP="00F807AA">
      <w:pPr>
        <w:pStyle w:val="Textonotapie"/>
        <w:rPr>
          <w:lang w:val="es-ES"/>
        </w:rPr>
      </w:pPr>
      <w:r w:rsidRPr="002A035A">
        <w:rPr>
          <w:rStyle w:val="Refdenotaalpie"/>
        </w:rPr>
        <w:footnoteRef/>
      </w:r>
      <w:r w:rsidRPr="002A035A">
        <w:t xml:space="preserve"> Peter Häberle, Öffentliches Interesse als juristisches Problem. Eine Analyse von Gesetzgebung und Rechtsprechung, Athanäum Verlag, Basel-Hamburg, 1970, pp. 17-18 y 718.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76F4C" w14:textId="77777777" w:rsidR="00837807" w:rsidRDefault="00837807">
    <w:pPr>
      <w:pStyle w:val="Cabeceraypi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333D6" w14:textId="77777777" w:rsidR="00837807" w:rsidRDefault="00837807">
    <w:pPr>
      <w:pStyle w:val="Cabeceraypi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49D1"/>
    <w:multiLevelType w:val="multilevel"/>
    <w:tmpl w:val="5260B2AC"/>
    <w:styleLink w:val="Guin"/>
    <w:lvl w:ilvl="0">
      <w:numFmt w:val="bullet"/>
      <w:lvlText w:val="-"/>
      <w:lvlJc w:val="left"/>
      <w:pPr>
        <w:tabs>
          <w:tab w:val="num" w:pos="262"/>
        </w:tabs>
        <w:ind w:left="262" w:hanging="262"/>
      </w:pPr>
      <w:rPr>
        <w:rFonts w:ascii="Arial" w:eastAsia="Arial" w:hAnsi="Arial" w:cs="Arial"/>
        <w:position w:val="4"/>
      </w:rPr>
    </w:lvl>
    <w:lvl w:ilvl="1">
      <w:start w:val="1"/>
      <w:numFmt w:val="bullet"/>
      <w:lvlText w:val="-"/>
      <w:lvlJc w:val="left"/>
      <w:pPr>
        <w:tabs>
          <w:tab w:val="num" w:pos="502"/>
        </w:tabs>
        <w:ind w:left="502" w:hanging="262"/>
      </w:pPr>
      <w:rPr>
        <w:rFonts w:ascii="Arial" w:eastAsia="Arial" w:hAnsi="Arial" w:cs="Arial"/>
        <w:position w:val="4"/>
      </w:rPr>
    </w:lvl>
    <w:lvl w:ilvl="2">
      <w:start w:val="1"/>
      <w:numFmt w:val="bullet"/>
      <w:lvlText w:val="-"/>
      <w:lvlJc w:val="left"/>
      <w:pPr>
        <w:tabs>
          <w:tab w:val="num" w:pos="742"/>
        </w:tabs>
        <w:ind w:left="742" w:hanging="262"/>
      </w:pPr>
      <w:rPr>
        <w:rFonts w:ascii="Arial" w:eastAsia="Arial" w:hAnsi="Arial" w:cs="Arial"/>
        <w:position w:val="4"/>
      </w:rPr>
    </w:lvl>
    <w:lvl w:ilvl="3">
      <w:start w:val="1"/>
      <w:numFmt w:val="bullet"/>
      <w:lvlText w:val="-"/>
      <w:lvlJc w:val="left"/>
      <w:pPr>
        <w:tabs>
          <w:tab w:val="num" w:pos="982"/>
        </w:tabs>
        <w:ind w:left="982" w:hanging="262"/>
      </w:pPr>
      <w:rPr>
        <w:rFonts w:ascii="Arial" w:eastAsia="Arial" w:hAnsi="Arial" w:cs="Arial"/>
        <w:position w:val="4"/>
      </w:rPr>
    </w:lvl>
    <w:lvl w:ilvl="4">
      <w:start w:val="1"/>
      <w:numFmt w:val="bullet"/>
      <w:lvlText w:val="-"/>
      <w:lvlJc w:val="left"/>
      <w:pPr>
        <w:tabs>
          <w:tab w:val="num" w:pos="1222"/>
        </w:tabs>
        <w:ind w:left="1222" w:hanging="262"/>
      </w:pPr>
      <w:rPr>
        <w:rFonts w:ascii="Arial" w:eastAsia="Arial" w:hAnsi="Arial" w:cs="Arial"/>
        <w:position w:val="4"/>
      </w:rPr>
    </w:lvl>
    <w:lvl w:ilvl="5">
      <w:start w:val="1"/>
      <w:numFmt w:val="bullet"/>
      <w:lvlText w:val="-"/>
      <w:lvlJc w:val="left"/>
      <w:pPr>
        <w:tabs>
          <w:tab w:val="num" w:pos="1462"/>
        </w:tabs>
        <w:ind w:left="1462" w:hanging="262"/>
      </w:pPr>
      <w:rPr>
        <w:rFonts w:ascii="Arial" w:eastAsia="Arial" w:hAnsi="Arial" w:cs="Arial"/>
        <w:position w:val="4"/>
      </w:rPr>
    </w:lvl>
    <w:lvl w:ilvl="6">
      <w:start w:val="1"/>
      <w:numFmt w:val="bullet"/>
      <w:lvlText w:val="-"/>
      <w:lvlJc w:val="left"/>
      <w:pPr>
        <w:tabs>
          <w:tab w:val="num" w:pos="1702"/>
        </w:tabs>
        <w:ind w:left="1702" w:hanging="262"/>
      </w:pPr>
      <w:rPr>
        <w:rFonts w:ascii="Arial" w:eastAsia="Arial" w:hAnsi="Arial" w:cs="Arial"/>
        <w:position w:val="4"/>
      </w:rPr>
    </w:lvl>
    <w:lvl w:ilvl="7">
      <w:start w:val="1"/>
      <w:numFmt w:val="bullet"/>
      <w:lvlText w:val="-"/>
      <w:lvlJc w:val="left"/>
      <w:pPr>
        <w:tabs>
          <w:tab w:val="num" w:pos="1942"/>
        </w:tabs>
        <w:ind w:left="1942" w:hanging="262"/>
      </w:pPr>
      <w:rPr>
        <w:rFonts w:ascii="Arial" w:eastAsia="Arial" w:hAnsi="Arial" w:cs="Arial"/>
        <w:position w:val="4"/>
      </w:rPr>
    </w:lvl>
    <w:lvl w:ilvl="8">
      <w:start w:val="1"/>
      <w:numFmt w:val="bullet"/>
      <w:lvlText w:val="-"/>
      <w:lvlJc w:val="left"/>
      <w:pPr>
        <w:tabs>
          <w:tab w:val="num" w:pos="2182"/>
        </w:tabs>
        <w:ind w:left="2182" w:hanging="262"/>
      </w:pPr>
      <w:rPr>
        <w:rFonts w:ascii="Arial" w:eastAsia="Arial" w:hAnsi="Arial" w:cs="Arial"/>
        <w:position w:val="4"/>
      </w:rPr>
    </w:lvl>
  </w:abstractNum>
  <w:abstractNum w:abstractNumId="1" w15:restartNumberingAfterBreak="0">
    <w:nsid w:val="0EA91B88"/>
    <w:multiLevelType w:val="hybridMultilevel"/>
    <w:tmpl w:val="E5F6AA1E"/>
    <w:lvl w:ilvl="0" w:tplc="2B4412D6">
      <w:start w:val="1"/>
      <w:numFmt w:val="decimal"/>
      <w:lvlText w:val="%1."/>
      <w:lvlJc w:val="left"/>
      <w:pPr>
        <w:ind w:left="720" w:hanging="360"/>
      </w:pPr>
      <w:rPr>
        <w:rFonts w:eastAsia="Arial Unicode M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A2A7148"/>
    <w:multiLevelType w:val="multilevel"/>
    <w:tmpl w:val="619E7770"/>
    <w:lvl w:ilvl="0">
      <w:numFmt w:val="bullet"/>
      <w:lvlText w:val="-"/>
      <w:lvlJc w:val="left"/>
      <w:pPr>
        <w:tabs>
          <w:tab w:val="num" w:pos="1003"/>
        </w:tabs>
        <w:ind w:left="1003" w:hanging="283"/>
      </w:pPr>
      <w:rPr>
        <w:rFonts w:ascii="Arial" w:eastAsia="Arial" w:hAnsi="Arial" w:cs="Arial"/>
        <w:position w:val="0"/>
      </w:rPr>
    </w:lvl>
    <w:lvl w:ilvl="1">
      <w:start w:val="1"/>
      <w:numFmt w:val="bullet"/>
      <w:lvlText w:val="o"/>
      <w:lvlJc w:val="left"/>
      <w:pPr>
        <w:tabs>
          <w:tab w:val="num" w:pos="1440"/>
        </w:tabs>
        <w:ind w:left="1440" w:hanging="360"/>
      </w:pPr>
      <w:rPr>
        <w:rFonts w:ascii="Arial" w:eastAsia="Arial" w:hAnsi="Arial" w:cs="Arial"/>
        <w:position w:val="0"/>
      </w:rPr>
    </w:lvl>
    <w:lvl w:ilvl="2">
      <w:start w:val="1"/>
      <w:numFmt w:val="bullet"/>
      <w:lvlText w:val="▪"/>
      <w:lvlJc w:val="left"/>
      <w:pPr>
        <w:tabs>
          <w:tab w:val="num" w:pos="2160"/>
        </w:tabs>
        <w:ind w:left="2160" w:hanging="360"/>
      </w:pPr>
      <w:rPr>
        <w:rFonts w:ascii="Arial" w:eastAsia="Arial" w:hAnsi="Arial" w:cs="Arial"/>
        <w:position w:val="0"/>
      </w:rPr>
    </w:lvl>
    <w:lvl w:ilvl="3">
      <w:start w:val="1"/>
      <w:numFmt w:val="bullet"/>
      <w:lvlText w:val="•"/>
      <w:lvlJc w:val="left"/>
      <w:pPr>
        <w:tabs>
          <w:tab w:val="num" w:pos="2880"/>
        </w:tabs>
        <w:ind w:left="2880" w:hanging="360"/>
      </w:pPr>
      <w:rPr>
        <w:rFonts w:ascii="Arial" w:eastAsia="Arial" w:hAnsi="Arial" w:cs="Arial"/>
        <w:position w:val="0"/>
      </w:rPr>
    </w:lvl>
    <w:lvl w:ilvl="4">
      <w:start w:val="1"/>
      <w:numFmt w:val="bullet"/>
      <w:lvlText w:val="o"/>
      <w:lvlJc w:val="left"/>
      <w:pPr>
        <w:tabs>
          <w:tab w:val="num" w:pos="3600"/>
        </w:tabs>
        <w:ind w:left="3600" w:hanging="360"/>
      </w:pPr>
      <w:rPr>
        <w:rFonts w:ascii="Arial" w:eastAsia="Arial" w:hAnsi="Arial" w:cs="Arial"/>
        <w:position w:val="0"/>
      </w:rPr>
    </w:lvl>
    <w:lvl w:ilvl="5">
      <w:start w:val="1"/>
      <w:numFmt w:val="bullet"/>
      <w:lvlText w:val="▪"/>
      <w:lvlJc w:val="left"/>
      <w:pPr>
        <w:tabs>
          <w:tab w:val="num" w:pos="4320"/>
        </w:tabs>
        <w:ind w:left="4320" w:hanging="360"/>
      </w:pPr>
      <w:rPr>
        <w:rFonts w:ascii="Arial" w:eastAsia="Arial" w:hAnsi="Arial" w:cs="Arial"/>
        <w:position w:val="0"/>
      </w:rPr>
    </w:lvl>
    <w:lvl w:ilvl="6">
      <w:start w:val="1"/>
      <w:numFmt w:val="bullet"/>
      <w:lvlText w:val="•"/>
      <w:lvlJc w:val="left"/>
      <w:pPr>
        <w:tabs>
          <w:tab w:val="num" w:pos="5040"/>
        </w:tabs>
        <w:ind w:left="5040" w:hanging="360"/>
      </w:pPr>
      <w:rPr>
        <w:rFonts w:ascii="Arial" w:eastAsia="Arial" w:hAnsi="Arial" w:cs="Arial"/>
        <w:position w:val="0"/>
      </w:rPr>
    </w:lvl>
    <w:lvl w:ilvl="7">
      <w:start w:val="1"/>
      <w:numFmt w:val="bullet"/>
      <w:lvlText w:val="o"/>
      <w:lvlJc w:val="left"/>
      <w:pPr>
        <w:tabs>
          <w:tab w:val="num" w:pos="5760"/>
        </w:tabs>
        <w:ind w:left="5760" w:hanging="360"/>
      </w:pPr>
      <w:rPr>
        <w:rFonts w:ascii="Arial" w:eastAsia="Arial" w:hAnsi="Arial" w:cs="Arial"/>
        <w:position w:val="0"/>
      </w:rPr>
    </w:lvl>
    <w:lvl w:ilvl="8">
      <w:start w:val="1"/>
      <w:numFmt w:val="bullet"/>
      <w:lvlText w:val="▪"/>
      <w:lvlJc w:val="left"/>
      <w:pPr>
        <w:tabs>
          <w:tab w:val="num" w:pos="6480"/>
        </w:tabs>
        <w:ind w:left="6480" w:hanging="360"/>
      </w:pPr>
      <w:rPr>
        <w:rFonts w:ascii="Arial" w:eastAsia="Arial" w:hAnsi="Arial" w:cs="Arial"/>
        <w:position w:val="0"/>
      </w:rPr>
    </w:lvl>
  </w:abstractNum>
  <w:abstractNum w:abstractNumId="3" w15:restartNumberingAfterBreak="0">
    <w:nsid w:val="1F040608"/>
    <w:multiLevelType w:val="multilevel"/>
    <w:tmpl w:val="0EDC7396"/>
    <w:styleLink w:val="List0"/>
    <w:lvl w:ilvl="0">
      <w:numFmt w:val="bullet"/>
      <w:lvlText w:val="-"/>
      <w:lvlJc w:val="left"/>
      <w:pPr>
        <w:tabs>
          <w:tab w:val="num" w:pos="1003"/>
        </w:tabs>
        <w:ind w:left="1003" w:hanging="283"/>
      </w:pPr>
      <w:rPr>
        <w:rFonts w:ascii="Arial" w:eastAsia="Arial" w:hAnsi="Arial" w:cs="Arial"/>
        <w:position w:val="0"/>
      </w:rPr>
    </w:lvl>
    <w:lvl w:ilvl="1">
      <w:start w:val="1"/>
      <w:numFmt w:val="bullet"/>
      <w:lvlText w:val="o"/>
      <w:lvlJc w:val="left"/>
      <w:pPr>
        <w:tabs>
          <w:tab w:val="num" w:pos="1440"/>
        </w:tabs>
        <w:ind w:left="1440" w:hanging="360"/>
      </w:pPr>
      <w:rPr>
        <w:rFonts w:ascii="Arial" w:eastAsia="Arial" w:hAnsi="Arial" w:cs="Arial"/>
        <w:position w:val="0"/>
      </w:rPr>
    </w:lvl>
    <w:lvl w:ilvl="2">
      <w:start w:val="1"/>
      <w:numFmt w:val="bullet"/>
      <w:lvlText w:val="▪"/>
      <w:lvlJc w:val="left"/>
      <w:pPr>
        <w:tabs>
          <w:tab w:val="num" w:pos="2160"/>
        </w:tabs>
        <w:ind w:left="2160" w:hanging="360"/>
      </w:pPr>
      <w:rPr>
        <w:rFonts w:ascii="Arial" w:eastAsia="Arial" w:hAnsi="Arial" w:cs="Arial"/>
        <w:position w:val="0"/>
      </w:rPr>
    </w:lvl>
    <w:lvl w:ilvl="3">
      <w:start w:val="1"/>
      <w:numFmt w:val="bullet"/>
      <w:lvlText w:val="•"/>
      <w:lvlJc w:val="left"/>
      <w:pPr>
        <w:tabs>
          <w:tab w:val="num" w:pos="2880"/>
        </w:tabs>
        <w:ind w:left="2880" w:hanging="360"/>
      </w:pPr>
      <w:rPr>
        <w:rFonts w:ascii="Arial" w:eastAsia="Arial" w:hAnsi="Arial" w:cs="Arial"/>
        <w:position w:val="0"/>
      </w:rPr>
    </w:lvl>
    <w:lvl w:ilvl="4">
      <w:start w:val="1"/>
      <w:numFmt w:val="bullet"/>
      <w:lvlText w:val="o"/>
      <w:lvlJc w:val="left"/>
      <w:pPr>
        <w:tabs>
          <w:tab w:val="num" w:pos="3600"/>
        </w:tabs>
        <w:ind w:left="3600" w:hanging="360"/>
      </w:pPr>
      <w:rPr>
        <w:rFonts w:ascii="Arial" w:eastAsia="Arial" w:hAnsi="Arial" w:cs="Arial"/>
        <w:position w:val="0"/>
      </w:rPr>
    </w:lvl>
    <w:lvl w:ilvl="5">
      <w:start w:val="1"/>
      <w:numFmt w:val="bullet"/>
      <w:lvlText w:val="▪"/>
      <w:lvlJc w:val="left"/>
      <w:pPr>
        <w:tabs>
          <w:tab w:val="num" w:pos="4320"/>
        </w:tabs>
        <w:ind w:left="4320" w:hanging="360"/>
      </w:pPr>
      <w:rPr>
        <w:rFonts w:ascii="Arial" w:eastAsia="Arial" w:hAnsi="Arial" w:cs="Arial"/>
        <w:position w:val="0"/>
      </w:rPr>
    </w:lvl>
    <w:lvl w:ilvl="6">
      <w:start w:val="1"/>
      <w:numFmt w:val="bullet"/>
      <w:lvlText w:val="•"/>
      <w:lvlJc w:val="left"/>
      <w:pPr>
        <w:tabs>
          <w:tab w:val="num" w:pos="5040"/>
        </w:tabs>
        <w:ind w:left="5040" w:hanging="360"/>
      </w:pPr>
      <w:rPr>
        <w:rFonts w:ascii="Arial" w:eastAsia="Arial" w:hAnsi="Arial" w:cs="Arial"/>
        <w:position w:val="0"/>
      </w:rPr>
    </w:lvl>
    <w:lvl w:ilvl="7">
      <w:start w:val="1"/>
      <w:numFmt w:val="bullet"/>
      <w:lvlText w:val="o"/>
      <w:lvlJc w:val="left"/>
      <w:pPr>
        <w:tabs>
          <w:tab w:val="num" w:pos="5760"/>
        </w:tabs>
        <w:ind w:left="5760" w:hanging="360"/>
      </w:pPr>
      <w:rPr>
        <w:rFonts w:ascii="Arial" w:eastAsia="Arial" w:hAnsi="Arial" w:cs="Arial"/>
        <w:position w:val="0"/>
      </w:rPr>
    </w:lvl>
    <w:lvl w:ilvl="8">
      <w:start w:val="1"/>
      <w:numFmt w:val="bullet"/>
      <w:lvlText w:val="▪"/>
      <w:lvlJc w:val="left"/>
      <w:pPr>
        <w:tabs>
          <w:tab w:val="num" w:pos="6480"/>
        </w:tabs>
        <w:ind w:left="6480" w:hanging="360"/>
      </w:pPr>
      <w:rPr>
        <w:rFonts w:ascii="Arial" w:eastAsia="Arial" w:hAnsi="Arial" w:cs="Arial"/>
        <w:position w:val="0"/>
      </w:rPr>
    </w:lvl>
  </w:abstractNum>
  <w:abstractNum w:abstractNumId="4" w15:restartNumberingAfterBreak="0">
    <w:nsid w:val="211B5380"/>
    <w:multiLevelType w:val="hybridMultilevel"/>
    <w:tmpl w:val="B5DE78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E23D27"/>
    <w:multiLevelType w:val="multilevel"/>
    <w:tmpl w:val="9DA8D392"/>
    <w:lvl w:ilvl="0">
      <w:numFmt w:val="bullet"/>
      <w:lvlText w:val="-"/>
      <w:lvlJc w:val="left"/>
      <w:pPr>
        <w:tabs>
          <w:tab w:val="num" w:pos="1003"/>
        </w:tabs>
        <w:ind w:left="1003" w:hanging="283"/>
      </w:pPr>
      <w:rPr>
        <w:rFonts w:ascii="Arial" w:eastAsia="Arial" w:hAnsi="Arial" w:cs="Arial"/>
        <w:position w:val="0"/>
      </w:rPr>
    </w:lvl>
    <w:lvl w:ilvl="1">
      <w:start w:val="1"/>
      <w:numFmt w:val="bullet"/>
      <w:lvlText w:val="o"/>
      <w:lvlJc w:val="left"/>
      <w:pPr>
        <w:tabs>
          <w:tab w:val="num" w:pos="1440"/>
        </w:tabs>
        <w:ind w:left="1440" w:hanging="360"/>
      </w:pPr>
      <w:rPr>
        <w:rFonts w:ascii="Arial" w:eastAsia="Arial" w:hAnsi="Arial" w:cs="Arial"/>
        <w:position w:val="0"/>
      </w:rPr>
    </w:lvl>
    <w:lvl w:ilvl="2">
      <w:start w:val="1"/>
      <w:numFmt w:val="bullet"/>
      <w:lvlText w:val="▪"/>
      <w:lvlJc w:val="left"/>
      <w:pPr>
        <w:tabs>
          <w:tab w:val="num" w:pos="2160"/>
        </w:tabs>
        <w:ind w:left="2160" w:hanging="360"/>
      </w:pPr>
      <w:rPr>
        <w:rFonts w:ascii="Arial" w:eastAsia="Arial" w:hAnsi="Arial" w:cs="Arial"/>
        <w:position w:val="0"/>
      </w:rPr>
    </w:lvl>
    <w:lvl w:ilvl="3">
      <w:start w:val="1"/>
      <w:numFmt w:val="bullet"/>
      <w:lvlText w:val="•"/>
      <w:lvlJc w:val="left"/>
      <w:pPr>
        <w:tabs>
          <w:tab w:val="num" w:pos="2880"/>
        </w:tabs>
        <w:ind w:left="2880" w:hanging="360"/>
      </w:pPr>
      <w:rPr>
        <w:rFonts w:ascii="Arial" w:eastAsia="Arial" w:hAnsi="Arial" w:cs="Arial"/>
        <w:position w:val="0"/>
      </w:rPr>
    </w:lvl>
    <w:lvl w:ilvl="4">
      <w:start w:val="1"/>
      <w:numFmt w:val="bullet"/>
      <w:lvlText w:val="o"/>
      <w:lvlJc w:val="left"/>
      <w:pPr>
        <w:tabs>
          <w:tab w:val="num" w:pos="3600"/>
        </w:tabs>
        <w:ind w:left="3600" w:hanging="360"/>
      </w:pPr>
      <w:rPr>
        <w:rFonts w:ascii="Arial" w:eastAsia="Arial" w:hAnsi="Arial" w:cs="Arial"/>
        <w:position w:val="0"/>
      </w:rPr>
    </w:lvl>
    <w:lvl w:ilvl="5">
      <w:start w:val="1"/>
      <w:numFmt w:val="bullet"/>
      <w:lvlText w:val="▪"/>
      <w:lvlJc w:val="left"/>
      <w:pPr>
        <w:tabs>
          <w:tab w:val="num" w:pos="4320"/>
        </w:tabs>
        <w:ind w:left="4320" w:hanging="360"/>
      </w:pPr>
      <w:rPr>
        <w:rFonts w:ascii="Arial" w:eastAsia="Arial" w:hAnsi="Arial" w:cs="Arial"/>
        <w:position w:val="0"/>
      </w:rPr>
    </w:lvl>
    <w:lvl w:ilvl="6">
      <w:start w:val="1"/>
      <w:numFmt w:val="bullet"/>
      <w:lvlText w:val="•"/>
      <w:lvlJc w:val="left"/>
      <w:pPr>
        <w:tabs>
          <w:tab w:val="num" w:pos="5040"/>
        </w:tabs>
        <w:ind w:left="5040" w:hanging="360"/>
      </w:pPr>
      <w:rPr>
        <w:rFonts w:ascii="Arial" w:eastAsia="Arial" w:hAnsi="Arial" w:cs="Arial"/>
        <w:position w:val="0"/>
      </w:rPr>
    </w:lvl>
    <w:lvl w:ilvl="7">
      <w:start w:val="1"/>
      <w:numFmt w:val="bullet"/>
      <w:lvlText w:val="o"/>
      <w:lvlJc w:val="left"/>
      <w:pPr>
        <w:tabs>
          <w:tab w:val="num" w:pos="5760"/>
        </w:tabs>
        <w:ind w:left="5760" w:hanging="360"/>
      </w:pPr>
      <w:rPr>
        <w:rFonts w:ascii="Arial" w:eastAsia="Arial" w:hAnsi="Arial" w:cs="Arial"/>
        <w:position w:val="0"/>
      </w:rPr>
    </w:lvl>
    <w:lvl w:ilvl="8">
      <w:start w:val="1"/>
      <w:numFmt w:val="bullet"/>
      <w:lvlText w:val="▪"/>
      <w:lvlJc w:val="left"/>
      <w:pPr>
        <w:tabs>
          <w:tab w:val="num" w:pos="6480"/>
        </w:tabs>
        <w:ind w:left="6480" w:hanging="360"/>
      </w:pPr>
      <w:rPr>
        <w:rFonts w:ascii="Arial" w:eastAsia="Arial" w:hAnsi="Arial" w:cs="Arial"/>
        <w:position w:val="0"/>
      </w:rPr>
    </w:lvl>
  </w:abstractNum>
  <w:abstractNum w:abstractNumId="6" w15:restartNumberingAfterBreak="0">
    <w:nsid w:val="342821A7"/>
    <w:multiLevelType w:val="multilevel"/>
    <w:tmpl w:val="689EE8EC"/>
    <w:lvl w:ilvl="0">
      <w:numFmt w:val="bullet"/>
      <w:lvlText w:val="-"/>
      <w:lvlJc w:val="left"/>
      <w:pPr>
        <w:tabs>
          <w:tab w:val="num" w:pos="1003"/>
        </w:tabs>
        <w:ind w:left="1003" w:hanging="283"/>
      </w:pPr>
      <w:rPr>
        <w:rFonts w:ascii="Arial" w:eastAsia="Arial" w:hAnsi="Arial" w:cs="Arial"/>
        <w:position w:val="0"/>
      </w:rPr>
    </w:lvl>
    <w:lvl w:ilvl="1">
      <w:start w:val="1"/>
      <w:numFmt w:val="bullet"/>
      <w:lvlText w:val="o"/>
      <w:lvlJc w:val="left"/>
      <w:pPr>
        <w:tabs>
          <w:tab w:val="num" w:pos="1440"/>
        </w:tabs>
        <w:ind w:left="1440" w:hanging="360"/>
      </w:pPr>
      <w:rPr>
        <w:rFonts w:ascii="Arial" w:eastAsia="Arial" w:hAnsi="Arial" w:cs="Arial"/>
        <w:position w:val="0"/>
      </w:rPr>
    </w:lvl>
    <w:lvl w:ilvl="2">
      <w:start w:val="1"/>
      <w:numFmt w:val="bullet"/>
      <w:lvlText w:val="▪"/>
      <w:lvlJc w:val="left"/>
      <w:pPr>
        <w:tabs>
          <w:tab w:val="num" w:pos="2160"/>
        </w:tabs>
        <w:ind w:left="2160" w:hanging="360"/>
      </w:pPr>
      <w:rPr>
        <w:rFonts w:ascii="Arial" w:eastAsia="Arial" w:hAnsi="Arial" w:cs="Arial"/>
        <w:position w:val="0"/>
      </w:rPr>
    </w:lvl>
    <w:lvl w:ilvl="3">
      <w:start w:val="1"/>
      <w:numFmt w:val="bullet"/>
      <w:lvlText w:val="•"/>
      <w:lvlJc w:val="left"/>
      <w:pPr>
        <w:tabs>
          <w:tab w:val="num" w:pos="2880"/>
        </w:tabs>
        <w:ind w:left="2880" w:hanging="360"/>
      </w:pPr>
      <w:rPr>
        <w:rFonts w:ascii="Arial" w:eastAsia="Arial" w:hAnsi="Arial" w:cs="Arial"/>
        <w:position w:val="0"/>
      </w:rPr>
    </w:lvl>
    <w:lvl w:ilvl="4">
      <w:start w:val="1"/>
      <w:numFmt w:val="bullet"/>
      <w:lvlText w:val="o"/>
      <w:lvlJc w:val="left"/>
      <w:pPr>
        <w:tabs>
          <w:tab w:val="num" w:pos="3600"/>
        </w:tabs>
        <w:ind w:left="3600" w:hanging="360"/>
      </w:pPr>
      <w:rPr>
        <w:rFonts w:ascii="Arial" w:eastAsia="Arial" w:hAnsi="Arial" w:cs="Arial"/>
        <w:position w:val="0"/>
      </w:rPr>
    </w:lvl>
    <w:lvl w:ilvl="5">
      <w:start w:val="1"/>
      <w:numFmt w:val="bullet"/>
      <w:lvlText w:val="▪"/>
      <w:lvlJc w:val="left"/>
      <w:pPr>
        <w:tabs>
          <w:tab w:val="num" w:pos="4320"/>
        </w:tabs>
        <w:ind w:left="4320" w:hanging="360"/>
      </w:pPr>
      <w:rPr>
        <w:rFonts w:ascii="Arial" w:eastAsia="Arial" w:hAnsi="Arial" w:cs="Arial"/>
        <w:position w:val="0"/>
      </w:rPr>
    </w:lvl>
    <w:lvl w:ilvl="6">
      <w:start w:val="1"/>
      <w:numFmt w:val="bullet"/>
      <w:lvlText w:val="•"/>
      <w:lvlJc w:val="left"/>
      <w:pPr>
        <w:tabs>
          <w:tab w:val="num" w:pos="5040"/>
        </w:tabs>
        <w:ind w:left="5040" w:hanging="360"/>
      </w:pPr>
      <w:rPr>
        <w:rFonts w:ascii="Arial" w:eastAsia="Arial" w:hAnsi="Arial" w:cs="Arial"/>
        <w:position w:val="0"/>
      </w:rPr>
    </w:lvl>
    <w:lvl w:ilvl="7">
      <w:start w:val="1"/>
      <w:numFmt w:val="bullet"/>
      <w:lvlText w:val="o"/>
      <w:lvlJc w:val="left"/>
      <w:pPr>
        <w:tabs>
          <w:tab w:val="num" w:pos="5760"/>
        </w:tabs>
        <w:ind w:left="5760" w:hanging="360"/>
      </w:pPr>
      <w:rPr>
        <w:rFonts w:ascii="Arial" w:eastAsia="Arial" w:hAnsi="Arial" w:cs="Arial"/>
        <w:position w:val="0"/>
      </w:rPr>
    </w:lvl>
    <w:lvl w:ilvl="8">
      <w:start w:val="1"/>
      <w:numFmt w:val="bullet"/>
      <w:lvlText w:val="▪"/>
      <w:lvlJc w:val="left"/>
      <w:pPr>
        <w:tabs>
          <w:tab w:val="num" w:pos="6480"/>
        </w:tabs>
        <w:ind w:left="6480" w:hanging="360"/>
      </w:pPr>
      <w:rPr>
        <w:rFonts w:ascii="Arial" w:eastAsia="Arial" w:hAnsi="Arial" w:cs="Arial"/>
        <w:position w:val="0"/>
      </w:rPr>
    </w:lvl>
  </w:abstractNum>
  <w:abstractNum w:abstractNumId="7" w15:restartNumberingAfterBreak="0">
    <w:nsid w:val="37172E37"/>
    <w:multiLevelType w:val="multilevel"/>
    <w:tmpl w:val="6C7ADC30"/>
    <w:lvl w:ilvl="0">
      <w:numFmt w:val="bullet"/>
      <w:lvlText w:val="-"/>
      <w:lvlJc w:val="left"/>
      <w:pPr>
        <w:tabs>
          <w:tab w:val="num" w:pos="262"/>
        </w:tabs>
        <w:ind w:left="262" w:hanging="262"/>
      </w:pPr>
      <w:rPr>
        <w:rFonts w:ascii="Arial" w:eastAsia="Arial" w:hAnsi="Arial" w:cs="Arial"/>
        <w:position w:val="4"/>
      </w:rPr>
    </w:lvl>
    <w:lvl w:ilvl="1">
      <w:start w:val="1"/>
      <w:numFmt w:val="bullet"/>
      <w:lvlText w:val="-"/>
      <w:lvlJc w:val="left"/>
      <w:pPr>
        <w:tabs>
          <w:tab w:val="num" w:pos="502"/>
        </w:tabs>
        <w:ind w:left="502" w:hanging="262"/>
      </w:pPr>
      <w:rPr>
        <w:rFonts w:ascii="Arial" w:eastAsia="Arial" w:hAnsi="Arial" w:cs="Arial"/>
        <w:position w:val="4"/>
      </w:rPr>
    </w:lvl>
    <w:lvl w:ilvl="2">
      <w:start w:val="1"/>
      <w:numFmt w:val="bullet"/>
      <w:lvlText w:val="-"/>
      <w:lvlJc w:val="left"/>
      <w:pPr>
        <w:tabs>
          <w:tab w:val="num" w:pos="742"/>
        </w:tabs>
        <w:ind w:left="742" w:hanging="262"/>
      </w:pPr>
      <w:rPr>
        <w:rFonts w:ascii="Arial" w:eastAsia="Arial" w:hAnsi="Arial" w:cs="Arial"/>
        <w:position w:val="4"/>
      </w:rPr>
    </w:lvl>
    <w:lvl w:ilvl="3">
      <w:start w:val="1"/>
      <w:numFmt w:val="bullet"/>
      <w:lvlText w:val="-"/>
      <w:lvlJc w:val="left"/>
      <w:pPr>
        <w:tabs>
          <w:tab w:val="num" w:pos="982"/>
        </w:tabs>
        <w:ind w:left="982" w:hanging="262"/>
      </w:pPr>
      <w:rPr>
        <w:rFonts w:ascii="Arial" w:eastAsia="Arial" w:hAnsi="Arial" w:cs="Arial"/>
        <w:position w:val="4"/>
      </w:rPr>
    </w:lvl>
    <w:lvl w:ilvl="4">
      <w:start w:val="1"/>
      <w:numFmt w:val="bullet"/>
      <w:lvlText w:val="-"/>
      <w:lvlJc w:val="left"/>
      <w:pPr>
        <w:tabs>
          <w:tab w:val="num" w:pos="1222"/>
        </w:tabs>
        <w:ind w:left="1222" w:hanging="262"/>
      </w:pPr>
      <w:rPr>
        <w:rFonts w:ascii="Arial" w:eastAsia="Arial" w:hAnsi="Arial" w:cs="Arial"/>
        <w:position w:val="4"/>
      </w:rPr>
    </w:lvl>
    <w:lvl w:ilvl="5">
      <w:start w:val="1"/>
      <w:numFmt w:val="bullet"/>
      <w:lvlText w:val="-"/>
      <w:lvlJc w:val="left"/>
      <w:pPr>
        <w:tabs>
          <w:tab w:val="num" w:pos="1462"/>
        </w:tabs>
        <w:ind w:left="1462" w:hanging="262"/>
      </w:pPr>
      <w:rPr>
        <w:rFonts w:ascii="Arial" w:eastAsia="Arial" w:hAnsi="Arial" w:cs="Arial"/>
        <w:position w:val="4"/>
      </w:rPr>
    </w:lvl>
    <w:lvl w:ilvl="6">
      <w:start w:val="1"/>
      <w:numFmt w:val="bullet"/>
      <w:lvlText w:val="-"/>
      <w:lvlJc w:val="left"/>
      <w:pPr>
        <w:tabs>
          <w:tab w:val="num" w:pos="1702"/>
        </w:tabs>
        <w:ind w:left="1702" w:hanging="262"/>
      </w:pPr>
      <w:rPr>
        <w:rFonts w:ascii="Arial" w:eastAsia="Arial" w:hAnsi="Arial" w:cs="Arial"/>
        <w:position w:val="4"/>
      </w:rPr>
    </w:lvl>
    <w:lvl w:ilvl="7">
      <w:start w:val="1"/>
      <w:numFmt w:val="bullet"/>
      <w:lvlText w:val="-"/>
      <w:lvlJc w:val="left"/>
      <w:pPr>
        <w:tabs>
          <w:tab w:val="num" w:pos="1942"/>
        </w:tabs>
        <w:ind w:left="1942" w:hanging="262"/>
      </w:pPr>
      <w:rPr>
        <w:rFonts w:ascii="Arial" w:eastAsia="Arial" w:hAnsi="Arial" w:cs="Arial"/>
        <w:position w:val="4"/>
      </w:rPr>
    </w:lvl>
    <w:lvl w:ilvl="8">
      <w:start w:val="1"/>
      <w:numFmt w:val="bullet"/>
      <w:lvlText w:val="-"/>
      <w:lvlJc w:val="left"/>
      <w:pPr>
        <w:tabs>
          <w:tab w:val="num" w:pos="2182"/>
        </w:tabs>
        <w:ind w:left="2182" w:hanging="262"/>
      </w:pPr>
      <w:rPr>
        <w:rFonts w:ascii="Arial" w:eastAsia="Arial" w:hAnsi="Arial" w:cs="Arial"/>
        <w:position w:val="4"/>
      </w:rPr>
    </w:lvl>
  </w:abstractNum>
  <w:abstractNum w:abstractNumId="8" w15:restartNumberingAfterBreak="0">
    <w:nsid w:val="38170F6A"/>
    <w:multiLevelType w:val="multilevel"/>
    <w:tmpl w:val="F5822946"/>
    <w:lvl w:ilvl="0">
      <w:numFmt w:val="bullet"/>
      <w:lvlText w:val="-"/>
      <w:lvlJc w:val="left"/>
      <w:pPr>
        <w:tabs>
          <w:tab w:val="num" w:pos="1003"/>
        </w:tabs>
        <w:ind w:left="1003" w:hanging="283"/>
      </w:pPr>
      <w:rPr>
        <w:rFonts w:ascii="Arial" w:eastAsia="Arial" w:hAnsi="Arial" w:cs="Arial"/>
        <w:position w:val="0"/>
      </w:rPr>
    </w:lvl>
    <w:lvl w:ilvl="1">
      <w:start w:val="1"/>
      <w:numFmt w:val="bullet"/>
      <w:lvlText w:val="o"/>
      <w:lvlJc w:val="left"/>
      <w:pPr>
        <w:tabs>
          <w:tab w:val="num" w:pos="1440"/>
        </w:tabs>
        <w:ind w:left="1440" w:hanging="360"/>
      </w:pPr>
      <w:rPr>
        <w:rFonts w:ascii="Arial" w:eastAsia="Arial" w:hAnsi="Arial" w:cs="Arial"/>
        <w:position w:val="0"/>
      </w:rPr>
    </w:lvl>
    <w:lvl w:ilvl="2">
      <w:start w:val="1"/>
      <w:numFmt w:val="bullet"/>
      <w:lvlText w:val="▪"/>
      <w:lvlJc w:val="left"/>
      <w:pPr>
        <w:tabs>
          <w:tab w:val="num" w:pos="2160"/>
        </w:tabs>
        <w:ind w:left="2160" w:hanging="360"/>
      </w:pPr>
      <w:rPr>
        <w:rFonts w:ascii="Arial" w:eastAsia="Arial" w:hAnsi="Arial" w:cs="Arial"/>
        <w:position w:val="0"/>
      </w:rPr>
    </w:lvl>
    <w:lvl w:ilvl="3">
      <w:start w:val="1"/>
      <w:numFmt w:val="bullet"/>
      <w:lvlText w:val="•"/>
      <w:lvlJc w:val="left"/>
      <w:pPr>
        <w:tabs>
          <w:tab w:val="num" w:pos="2880"/>
        </w:tabs>
        <w:ind w:left="2880" w:hanging="360"/>
      </w:pPr>
      <w:rPr>
        <w:rFonts w:ascii="Arial" w:eastAsia="Arial" w:hAnsi="Arial" w:cs="Arial"/>
        <w:position w:val="0"/>
      </w:rPr>
    </w:lvl>
    <w:lvl w:ilvl="4">
      <w:start w:val="1"/>
      <w:numFmt w:val="bullet"/>
      <w:lvlText w:val="o"/>
      <w:lvlJc w:val="left"/>
      <w:pPr>
        <w:tabs>
          <w:tab w:val="num" w:pos="3600"/>
        </w:tabs>
        <w:ind w:left="3600" w:hanging="360"/>
      </w:pPr>
      <w:rPr>
        <w:rFonts w:ascii="Arial" w:eastAsia="Arial" w:hAnsi="Arial" w:cs="Arial"/>
        <w:position w:val="0"/>
      </w:rPr>
    </w:lvl>
    <w:lvl w:ilvl="5">
      <w:start w:val="1"/>
      <w:numFmt w:val="bullet"/>
      <w:lvlText w:val="▪"/>
      <w:lvlJc w:val="left"/>
      <w:pPr>
        <w:tabs>
          <w:tab w:val="num" w:pos="4320"/>
        </w:tabs>
        <w:ind w:left="4320" w:hanging="360"/>
      </w:pPr>
      <w:rPr>
        <w:rFonts w:ascii="Arial" w:eastAsia="Arial" w:hAnsi="Arial" w:cs="Arial"/>
        <w:position w:val="0"/>
      </w:rPr>
    </w:lvl>
    <w:lvl w:ilvl="6">
      <w:start w:val="1"/>
      <w:numFmt w:val="bullet"/>
      <w:lvlText w:val="•"/>
      <w:lvlJc w:val="left"/>
      <w:pPr>
        <w:tabs>
          <w:tab w:val="num" w:pos="5040"/>
        </w:tabs>
        <w:ind w:left="5040" w:hanging="360"/>
      </w:pPr>
      <w:rPr>
        <w:rFonts w:ascii="Arial" w:eastAsia="Arial" w:hAnsi="Arial" w:cs="Arial"/>
        <w:position w:val="0"/>
      </w:rPr>
    </w:lvl>
    <w:lvl w:ilvl="7">
      <w:start w:val="1"/>
      <w:numFmt w:val="bullet"/>
      <w:lvlText w:val="o"/>
      <w:lvlJc w:val="left"/>
      <w:pPr>
        <w:tabs>
          <w:tab w:val="num" w:pos="5760"/>
        </w:tabs>
        <w:ind w:left="5760" w:hanging="360"/>
      </w:pPr>
      <w:rPr>
        <w:rFonts w:ascii="Arial" w:eastAsia="Arial" w:hAnsi="Arial" w:cs="Arial"/>
        <w:position w:val="0"/>
      </w:rPr>
    </w:lvl>
    <w:lvl w:ilvl="8">
      <w:start w:val="1"/>
      <w:numFmt w:val="bullet"/>
      <w:lvlText w:val="▪"/>
      <w:lvlJc w:val="left"/>
      <w:pPr>
        <w:tabs>
          <w:tab w:val="num" w:pos="6480"/>
        </w:tabs>
        <w:ind w:left="6480" w:hanging="360"/>
      </w:pPr>
      <w:rPr>
        <w:rFonts w:ascii="Arial" w:eastAsia="Arial" w:hAnsi="Arial" w:cs="Arial"/>
        <w:position w:val="0"/>
      </w:rPr>
    </w:lvl>
  </w:abstractNum>
  <w:abstractNum w:abstractNumId="9" w15:restartNumberingAfterBreak="0">
    <w:nsid w:val="3DEF3DD6"/>
    <w:multiLevelType w:val="hybridMultilevel"/>
    <w:tmpl w:val="6E089A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6635959"/>
    <w:multiLevelType w:val="multilevel"/>
    <w:tmpl w:val="EDC8D34E"/>
    <w:lvl w:ilvl="0">
      <w:numFmt w:val="bullet"/>
      <w:lvlText w:val="-"/>
      <w:lvlJc w:val="left"/>
      <w:pPr>
        <w:tabs>
          <w:tab w:val="num" w:pos="262"/>
        </w:tabs>
        <w:ind w:left="262" w:hanging="262"/>
      </w:pPr>
      <w:rPr>
        <w:rFonts w:ascii="Arial" w:eastAsia="Arial" w:hAnsi="Arial" w:cs="Arial"/>
        <w:position w:val="4"/>
      </w:rPr>
    </w:lvl>
    <w:lvl w:ilvl="1">
      <w:start w:val="1"/>
      <w:numFmt w:val="bullet"/>
      <w:lvlText w:val="-"/>
      <w:lvlJc w:val="left"/>
      <w:pPr>
        <w:tabs>
          <w:tab w:val="num" w:pos="502"/>
        </w:tabs>
        <w:ind w:left="502" w:hanging="262"/>
      </w:pPr>
      <w:rPr>
        <w:rFonts w:ascii="Arial" w:eastAsia="Arial" w:hAnsi="Arial" w:cs="Arial"/>
        <w:position w:val="4"/>
      </w:rPr>
    </w:lvl>
    <w:lvl w:ilvl="2">
      <w:start w:val="1"/>
      <w:numFmt w:val="bullet"/>
      <w:lvlText w:val="-"/>
      <w:lvlJc w:val="left"/>
      <w:pPr>
        <w:tabs>
          <w:tab w:val="num" w:pos="742"/>
        </w:tabs>
        <w:ind w:left="742" w:hanging="262"/>
      </w:pPr>
      <w:rPr>
        <w:rFonts w:ascii="Arial" w:eastAsia="Arial" w:hAnsi="Arial" w:cs="Arial"/>
        <w:position w:val="4"/>
      </w:rPr>
    </w:lvl>
    <w:lvl w:ilvl="3">
      <w:start w:val="1"/>
      <w:numFmt w:val="bullet"/>
      <w:lvlText w:val="-"/>
      <w:lvlJc w:val="left"/>
      <w:pPr>
        <w:tabs>
          <w:tab w:val="num" w:pos="982"/>
        </w:tabs>
        <w:ind w:left="982" w:hanging="262"/>
      </w:pPr>
      <w:rPr>
        <w:rFonts w:ascii="Arial" w:eastAsia="Arial" w:hAnsi="Arial" w:cs="Arial"/>
        <w:position w:val="4"/>
      </w:rPr>
    </w:lvl>
    <w:lvl w:ilvl="4">
      <w:start w:val="1"/>
      <w:numFmt w:val="bullet"/>
      <w:lvlText w:val="-"/>
      <w:lvlJc w:val="left"/>
      <w:pPr>
        <w:tabs>
          <w:tab w:val="num" w:pos="1222"/>
        </w:tabs>
        <w:ind w:left="1222" w:hanging="262"/>
      </w:pPr>
      <w:rPr>
        <w:rFonts w:ascii="Arial" w:eastAsia="Arial" w:hAnsi="Arial" w:cs="Arial"/>
        <w:position w:val="4"/>
      </w:rPr>
    </w:lvl>
    <w:lvl w:ilvl="5">
      <w:start w:val="1"/>
      <w:numFmt w:val="bullet"/>
      <w:lvlText w:val="-"/>
      <w:lvlJc w:val="left"/>
      <w:pPr>
        <w:tabs>
          <w:tab w:val="num" w:pos="1462"/>
        </w:tabs>
        <w:ind w:left="1462" w:hanging="262"/>
      </w:pPr>
      <w:rPr>
        <w:rFonts w:ascii="Arial" w:eastAsia="Arial" w:hAnsi="Arial" w:cs="Arial"/>
        <w:position w:val="4"/>
      </w:rPr>
    </w:lvl>
    <w:lvl w:ilvl="6">
      <w:start w:val="1"/>
      <w:numFmt w:val="bullet"/>
      <w:lvlText w:val="-"/>
      <w:lvlJc w:val="left"/>
      <w:pPr>
        <w:tabs>
          <w:tab w:val="num" w:pos="1702"/>
        </w:tabs>
        <w:ind w:left="1702" w:hanging="262"/>
      </w:pPr>
      <w:rPr>
        <w:rFonts w:ascii="Arial" w:eastAsia="Arial" w:hAnsi="Arial" w:cs="Arial"/>
        <w:position w:val="4"/>
      </w:rPr>
    </w:lvl>
    <w:lvl w:ilvl="7">
      <w:start w:val="1"/>
      <w:numFmt w:val="bullet"/>
      <w:lvlText w:val="-"/>
      <w:lvlJc w:val="left"/>
      <w:pPr>
        <w:tabs>
          <w:tab w:val="num" w:pos="1942"/>
        </w:tabs>
        <w:ind w:left="1942" w:hanging="262"/>
      </w:pPr>
      <w:rPr>
        <w:rFonts w:ascii="Arial" w:eastAsia="Arial" w:hAnsi="Arial" w:cs="Arial"/>
        <w:position w:val="4"/>
      </w:rPr>
    </w:lvl>
    <w:lvl w:ilvl="8">
      <w:start w:val="1"/>
      <w:numFmt w:val="bullet"/>
      <w:lvlText w:val="-"/>
      <w:lvlJc w:val="left"/>
      <w:pPr>
        <w:tabs>
          <w:tab w:val="num" w:pos="2182"/>
        </w:tabs>
        <w:ind w:left="2182" w:hanging="262"/>
      </w:pPr>
      <w:rPr>
        <w:rFonts w:ascii="Arial" w:eastAsia="Arial" w:hAnsi="Arial" w:cs="Arial"/>
        <w:position w:val="4"/>
      </w:rPr>
    </w:lvl>
  </w:abstractNum>
  <w:abstractNum w:abstractNumId="11" w15:restartNumberingAfterBreak="0">
    <w:nsid w:val="5E134195"/>
    <w:multiLevelType w:val="multilevel"/>
    <w:tmpl w:val="6664A116"/>
    <w:lvl w:ilvl="0">
      <w:numFmt w:val="bullet"/>
      <w:lvlText w:val="-"/>
      <w:lvlJc w:val="left"/>
      <w:pPr>
        <w:tabs>
          <w:tab w:val="num" w:pos="1003"/>
        </w:tabs>
        <w:ind w:left="1003" w:hanging="283"/>
      </w:pPr>
      <w:rPr>
        <w:rFonts w:ascii="Arial" w:eastAsia="Arial" w:hAnsi="Arial" w:cs="Arial"/>
        <w:position w:val="0"/>
      </w:rPr>
    </w:lvl>
    <w:lvl w:ilvl="1">
      <w:start w:val="1"/>
      <w:numFmt w:val="bullet"/>
      <w:lvlText w:val="o"/>
      <w:lvlJc w:val="left"/>
      <w:pPr>
        <w:tabs>
          <w:tab w:val="num" w:pos="1440"/>
        </w:tabs>
        <w:ind w:left="1440" w:hanging="360"/>
      </w:pPr>
      <w:rPr>
        <w:rFonts w:ascii="Arial" w:eastAsia="Arial" w:hAnsi="Arial" w:cs="Arial"/>
        <w:position w:val="0"/>
      </w:rPr>
    </w:lvl>
    <w:lvl w:ilvl="2">
      <w:start w:val="1"/>
      <w:numFmt w:val="bullet"/>
      <w:lvlText w:val="▪"/>
      <w:lvlJc w:val="left"/>
      <w:pPr>
        <w:tabs>
          <w:tab w:val="num" w:pos="2160"/>
        </w:tabs>
        <w:ind w:left="2160" w:hanging="360"/>
      </w:pPr>
      <w:rPr>
        <w:rFonts w:ascii="Arial" w:eastAsia="Arial" w:hAnsi="Arial" w:cs="Arial"/>
        <w:position w:val="0"/>
      </w:rPr>
    </w:lvl>
    <w:lvl w:ilvl="3">
      <w:start w:val="1"/>
      <w:numFmt w:val="bullet"/>
      <w:lvlText w:val="•"/>
      <w:lvlJc w:val="left"/>
      <w:pPr>
        <w:tabs>
          <w:tab w:val="num" w:pos="2880"/>
        </w:tabs>
        <w:ind w:left="2880" w:hanging="360"/>
      </w:pPr>
      <w:rPr>
        <w:rFonts w:ascii="Arial" w:eastAsia="Arial" w:hAnsi="Arial" w:cs="Arial"/>
        <w:position w:val="0"/>
      </w:rPr>
    </w:lvl>
    <w:lvl w:ilvl="4">
      <w:start w:val="1"/>
      <w:numFmt w:val="bullet"/>
      <w:lvlText w:val="o"/>
      <w:lvlJc w:val="left"/>
      <w:pPr>
        <w:tabs>
          <w:tab w:val="num" w:pos="3600"/>
        </w:tabs>
        <w:ind w:left="3600" w:hanging="360"/>
      </w:pPr>
      <w:rPr>
        <w:rFonts w:ascii="Arial" w:eastAsia="Arial" w:hAnsi="Arial" w:cs="Arial"/>
        <w:position w:val="0"/>
      </w:rPr>
    </w:lvl>
    <w:lvl w:ilvl="5">
      <w:start w:val="1"/>
      <w:numFmt w:val="bullet"/>
      <w:lvlText w:val="▪"/>
      <w:lvlJc w:val="left"/>
      <w:pPr>
        <w:tabs>
          <w:tab w:val="num" w:pos="4320"/>
        </w:tabs>
        <w:ind w:left="4320" w:hanging="360"/>
      </w:pPr>
      <w:rPr>
        <w:rFonts w:ascii="Arial" w:eastAsia="Arial" w:hAnsi="Arial" w:cs="Arial"/>
        <w:position w:val="0"/>
      </w:rPr>
    </w:lvl>
    <w:lvl w:ilvl="6">
      <w:start w:val="1"/>
      <w:numFmt w:val="bullet"/>
      <w:lvlText w:val="•"/>
      <w:lvlJc w:val="left"/>
      <w:pPr>
        <w:tabs>
          <w:tab w:val="num" w:pos="5040"/>
        </w:tabs>
        <w:ind w:left="5040" w:hanging="360"/>
      </w:pPr>
      <w:rPr>
        <w:rFonts w:ascii="Arial" w:eastAsia="Arial" w:hAnsi="Arial" w:cs="Arial"/>
        <w:position w:val="0"/>
      </w:rPr>
    </w:lvl>
    <w:lvl w:ilvl="7">
      <w:start w:val="1"/>
      <w:numFmt w:val="bullet"/>
      <w:lvlText w:val="o"/>
      <w:lvlJc w:val="left"/>
      <w:pPr>
        <w:tabs>
          <w:tab w:val="num" w:pos="5760"/>
        </w:tabs>
        <w:ind w:left="5760" w:hanging="360"/>
      </w:pPr>
      <w:rPr>
        <w:rFonts w:ascii="Arial" w:eastAsia="Arial" w:hAnsi="Arial" w:cs="Arial"/>
        <w:position w:val="0"/>
      </w:rPr>
    </w:lvl>
    <w:lvl w:ilvl="8">
      <w:start w:val="1"/>
      <w:numFmt w:val="bullet"/>
      <w:lvlText w:val="▪"/>
      <w:lvlJc w:val="left"/>
      <w:pPr>
        <w:tabs>
          <w:tab w:val="num" w:pos="6480"/>
        </w:tabs>
        <w:ind w:left="6480" w:hanging="360"/>
      </w:pPr>
      <w:rPr>
        <w:rFonts w:ascii="Arial" w:eastAsia="Arial" w:hAnsi="Arial" w:cs="Arial"/>
        <w:position w:val="0"/>
      </w:rPr>
    </w:lvl>
  </w:abstractNum>
  <w:abstractNum w:abstractNumId="12" w15:restartNumberingAfterBreak="0">
    <w:nsid w:val="5FBB6147"/>
    <w:multiLevelType w:val="multilevel"/>
    <w:tmpl w:val="3386F252"/>
    <w:lvl w:ilvl="0">
      <w:start w:val="1"/>
      <w:numFmt w:val="bullet"/>
      <w:lvlText w:val="-"/>
      <w:lvlJc w:val="left"/>
      <w:pPr>
        <w:tabs>
          <w:tab w:val="num" w:pos="1003"/>
        </w:tabs>
        <w:ind w:left="1003" w:hanging="283"/>
      </w:pPr>
      <w:rPr>
        <w:rFonts w:ascii="Arial" w:eastAsia="Arial" w:hAnsi="Arial" w:cs="Arial"/>
        <w:position w:val="0"/>
      </w:rPr>
    </w:lvl>
    <w:lvl w:ilvl="1">
      <w:start w:val="1"/>
      <w:numFmt w:val="bullet"/>
      <w:lvlText w:val="o"/>
      <w:lvlJc w:val="left"/>
      <w:pPr>
        <w:tabs>
          <w:tab w:val="num" w:pos="1440"/>
        </w:tabs>
        <w:ind w:left="1440" w:hanging="360"/>
      </w:pPr>
      <w:rPr>
        <w:rFonts w:ascii="Arial" w:eastAsia="Arial" w:hAnsi="Arial" w:cs="Arial"/>
        <w:position w:val="0"/>
      </w:rPr>
    </w:lvl>
    <w:lvl w:ilvl="2">
      <w:start w:val="1"/>
      <w:numFmt w:val="bullet"/>
      <w:lvlText w:val="▪"/>
      <w:lvlJc w:val="left"/>
      <w:pPr>
        <w:tabs>
          <w:tab w:val="num" w:pos="2160"/>
        </w:tabs>
        <w:ind w:left="2160" w:hanging="360"/>
      </w:pPr>
      <w:rPr>
        <w:rFonts w:ascii="Arial" w:eastAsia="Arial" w:hAnsi="Arial" w:cs="Arial"/>
        <w:position w:val="0"/>
      </w:rPr>
    </w:lvl>
    <w:lvl w:ilvl="3">
      <w:start w:val="1"/>
      <w:numFmt w:val="bullet"/>
      <w:lvlText w:val="•"/>
      <w:lvlJc w:val="left"/>
      <w:pPr>
        <w:tabs>
          <w:tab w:val="num" w:pos="2880"/>
        </w:tabs>
        <w:ind w:left="2880" w:hanging="360"/>
      </w:pPr>
      <w:rPr>
        <w:rFonts w:ascii="Arial" w:eastAsia="Arial" w:hAnsi="Arial" w:cs="Arial"/>
        <w:position w:val="0"/>
      </w:rPr>
    </w:lvl>
    <w:lvl w:ilvl="4">
      <w:start w:val="1"/>
      <w:numFmt w:val="bullet"/>
      <w:lvlText w:val="o"/>
      <w:lvlJc w:val="left"/>
      <w:pPr>
        <w:tabs>
          <w:tab w:val="num" w:pos="3600"/>
        </w:tabs>
        <w:ind w:left="3600" w:hanging="360"/>
      </w:pPr>
      <w:rPr>
        <w:rFonts w:ascii="Arial" w:eastAsia="Arial" w:hAnsi="Arial" w:cs="Arial"/>
        <w:position w:val="0"/>
      </w:rPr>
    </w:lvl>
    <w:lvl w:ilvl="5">
      <w:start w:val="1"/>
      <w:numFmt w:val="bullet"/>
      <w:lvlText w:val="▪"/>
      <w:lvlJc w:val="left"/>
      <w:pPr>
        <w:tabs>
          <w:tab w:val="num" w:pos="4320"/>
        </w:tabs>
        <w:ind w:left="4320" w:hanging="360"/>
      </w:pPr>
      <w:rPr>
        <w:rFonts w:ascii="Arial" w:eastAsia="Arial" w:hAnsi="Arial" w:cs="Arial"/>
        <w:position w:val="0"/>
      </w:rPr>
    </w:lvl>
    <w:lvl w:ilvl="6">
      <w:start w:val="1"/>
      <w:numFmt w:val="bullet"/>
      <w:lvlText w:val="•"/>
      <w:lvlJc w:val="left"/>
      <w:pPr>
        <w:tabs>
          <w:tab w:val="num" w:pos="5040"/>
        </w:tabs>
        <w:ind w:left="5040" w:hanging="360"/>
      </w:pPr>
      <w:rPr>
        <w:rFonts w:ascii="Arial" w:eastAsia="Arial" w:hAnsi="Arial" w:cs="Arial"/>
        <w:position w:val="0"/>
      </w:rPr>
    </w:lvl>
    <w:lvl w:ilvl="7">
      <w:start w:val="1"/>
      <w:numFmt w:val="bullet"/>
      <w:lvlText w:val="o"/>
      <w:lvlJc w:val="left"/>
      <w:pPr>
        <w:tabs>
          <w:tab w:val="num" w:pos="5760"/>
        </w:tabs>
        <w:ind w:left="5760" w:hanging="360"/>
      </w:pPr>
      <w:rPr>
        <w:rFonts w:ascii="Arial" w:eastAsia="Arial" w:hAnsi="Arial" w:cs="Arial"/>
        <w:position w:val="0"/>
      </w:rPr>
    </w:lvl>
    <w:lvl w:ilvl="8">
      <w:start w:val="1"/>
      <w:numFmt w:val="bullet"/>
      <w:lvlText w:val="▪"/>
      <w:lvlJc w:val="left"/>
      <w:pPr>
        <w:tabs>
          <w:tab w:val="num" w:pos="6480"/>
        </w:tabs>
        <w:ind w:left="6480" w:hanging="360"/>
      </w:pPr>
      <w:rPr>
        <w:rFonts w:ascii="Arial" w:eastAsia="Arial" w:hAnsi="Arial" w:cs="Arial"/>
        <w:position w:val="0"/>
      </w:rPr>
    </w:lvl>
  </w:abstractNum>
  <w:abstractNum w:abstractNumId="13" w15:restartNumberingAfterBreak="0">
    <w:nsid w:val="62AE71DC"/>
    <w:multiLevelType w:val="hybridMultilevel"/>
    <w:tmpl w:val="F5B842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66218FC"/>
    <w:multiLevelType w:val="multilevel"/>
    <w:tmpl w:val="6BCA96EC"/>
    <w:lvl w:ilvl="0">
      <w:numFmt w:val="bullet"/>
      <w:lvlText w:val="-"/>
      <w:lvlJc w:val="left"/>
      <w:pPr>
        <w:tabs>
          <w:tab w:val="num" w:pos="262"/>
        </w:tabs>
        <w:ind w:left="262" w:hanging="262"/>
      </w:pPr>
      <w:rPr>
        <w:rFonts w:ascii="Arial" w:eastAsia="Arial" w:hAnsi="Arial" w:cs="Arial"/>
        <w:position w:val="4"/>
      </w:rPr>
    </w:lvl>
    <w:lvl w:ilvl="1">
      <w:start w:val="1"/>
      <w:numFmt w:val="bullet"/>
      <w:lvlText w:val="-"/>
      <w:lvlJc w:val="left"/>
      <w:pPr>
        <w:tabs>
          <w:tab w:val="num" w:pos="502"/>
        </w:tabs>
        <w:ind w:left="502" w:hanging="262"/>
      </w:pPr>
      <w:rPr>
        <w:rFonts w:ascii="Arial" w:eastAsia="Arial" w:hAnsi="Arial" w:cs="Arial"/>
        <w:position w:val="4"/>
      </w:rPr>
    </w:lvl>
    <w:lvl w:ilvl="2">
      <w:start w:val="1"/>
      <w:numFmt w:val="bullet"/>
      <w:lvlText w:val="-"/>
      <w:lvlJc w:val="left"/>
      <w:pPr>
        <w:tabs>
          <w:tab w:val="num" w:pos="742"/>
        </w:tabs>
        <w:ind w:left="742" w:hanging="262"/>
      </w:pPr>
      <w:rPr>
        <w:rFonts w:ascii="Arial" w:eastAsia="Arial" w:hAnsi="Arial" w:cs="Arial"/>
        <w:position w:val="4"/>
      </w:rPr>
    </w:lvl>
    <w:lvl w:ilvl="3">
      <w:start w:val="1"/>
      <w:numFmt w:val="bullet"/>
      <w:lvlText w:val="-"/>
      <w:lvlJc w:val="left"/>
      <w:pPr>
        <w:tabs>
          <w:tab w:val="num" w:pos="982"/>
        </w:tabs>
        <w:ind w:left="982" w:hanging="262"/>
      </w:pPr>
      <w:rPr>
        <w:rFonts w:ascii="Arial" w:eastAsia="Arial" w:hAnsi="Arial" w:cs="Arial"/>
        <w:position w:val="4"/>
      </w:rPr>
    </w:lvl>
    <w:lvl w:ilvl="4">
      <w:start w:val="1"/>
      <w:numFmt w:val="bullet"/>
      <w:lvlText w:val="-"/>
      <w:lvlJc w:val="left"/>
      <w:pPr>
        <w:tabs>
          <w:tab w:val="num" w:pos="1222"/>
        </w:tabs>
        <w:ind w:left="1222" w:hanging="262"/>
      </w:pPr>
      <w:rPr>
        <w:rFonts w:ascii="Arial" w:eastAsia="Arial" w:hAnsi="Arial" w:cs="Arial"/>
        <w:position w:val="4"/>
      </w:rPr>
    </w:lvl>
    <w:lvl w:ilvl="5">
      <w:start w:val="1"/>
      <w:numFmt w:val="bullet"/>
      <w:lvlText w:val="-"/>
      <w:lvlJc w:val="left"/>
      <w:pPr>
        <w:tabs>
          <w:tab w:val="num" w:pos="1462"/>
        </w:tabs>
        <w:ind w:left="1462" w:hanging="262"/>
      </w:pPr>
      <w:rPr>
        <w:rFonts w:ascii="Arial" w:eastAsia="Arial" w:hAnsi="Arial" w:cs="Arial"/>
        <w:position w:val="4"/>
      </w:rPr>
    </w:lvl>
    <w:lvl w:ilvl="6">
      <w:start w:val="1"/>
      <w:numFmt w:val="bullet"/>
      <w:lvlText w:val="-"/>
      <w:lvlJc w:val="left"/>
      <w:pPr>
        <w:tabs>
          <w:tab w:val="num" w:pos="1702"/>
        </w:tabs>
        <w:ind w:left="1702" w:hanging="262"/>
      </w:pPr>
      <w:rPr>
        <w:rFonts w:ascii="Arial" w:eastAsia="Arial" w:hAnsi="Arial" w:cs="Arial"/>
        <w:position w:val="4"/>
      </w:rPr>
    </w:lvl>
    <w:lvl w:ilvl="7">
      <w:start w:val="1"/>
      <w:numFmt w:val="bullet"/>
      <w:lvlText w:val="-"/>
      <w:lvlJc w:val="left"/>
      <w:pPr>
        <w:tabs>
          <w:tab w:val="num" w:pos="1942"/>
        </w:tabs>
        <w:ind w:left="1942" w:hanging="262"/>
      </w:pPr>
      <w:rPr>
        <w:rFonts w:ascii="Arial" w:eastAsia="Arial" w:hAnsi="Arial" w:cs="Arial"/>
        <w:position w:val="4"/>
      </w:rPr>
    </w:lvl>
    <w:lvl w:ilvl="8">
      <w:start w:val="1"/>
      <w:numFmt w:val="bullet"/>
      <w:lvlText w:val="-"/>
      <w:lvlJc w:val="left"/>
      <w:pPr>
        <w:tabs>
          <w:tab w:val="num" w:pos="2182"/>
        </w:tabs>
        <w:ind w:left="2182" w:hanging="262"/>
      </w:pPr>
      <w:rPr>
        <w:rFonts w:ascii="Arial" w:eastAsia="Arial" w:hAnsi="Arial" w:cs="Arial"/>
        <w:position w:val="4"/>
      </w:rPr>
    </w:lvl>
  </w:abstractNum>
  <w:abstractNum w:abstractNumId="15" w15:restartNumberingAfterBreak="0">
    <w:nsid w:val="71BB6D2C"/>
    <w:multiLevelType w:val="hybridMultilevel"/>
    <w:tmpl w:val="4EFA5F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23F3187"/>
    <w:multiLevelType w:val="multilevel"/>
    <w:tmpl w:val="9F0656A8"/>
    <w:lvl w:ilvl="0">
      <w:start w:val="1"/>
      <w:numFmt w:val="bullet"/>
      <w:lvlText w:val="-"/>
      <w:lvlJc w:val="left"/>
      <w:pPr>
        <w:tabs>
          <w:tab w:val="num" w:pos="262"/>
        </w:tabs>
        <w:ind w:left="262" w:hanging="262"/>
      </w:pPr>
      <w:rPr>
        <w:rFonts w:ascii="Arial" w:eastAsia="Arial" w:hAnsi="Arial" w:cs="Arial"/>
        <w:position w:val="4"/>
      </w:rPr>
    </w:lvl>
    <w:lvl w:ilvl="1">
      <w:start w:val="1"/>
      <w:numFmt w:val="bullet"/>
      <w:lvlText w:val="-"/>
      <w:lvlJc w:val="left"/>
      <w:pPr>
        <w:tabs>
          <w:tab w:val="num" w:pos="502"/>
        </w:tabs>
        <w:ind w:left="502" w:hanging="262"/>
      </w:pPr>
      <w:rPr>
        <w:rFonts w:ascii="Arial" w:eastAsia="Arial" w:hAnsi="Arial" w:cs="Arial"/>
        <w:position w:val="4"/>
      </w:rPr>
    </w:lvl>
    <w:lvl w:ilvl="2">
      <w:start w:val="1"/>
      <w:numFmt w:val="bullet"/>
      <w:lvlText w:val="-"/>
      <w:lvlJc w:val="left"/>
      <w:pPr>
        <w:tabs>
          <w:tab w:val="num" w:pos="742"/>
        </w:tabs>
        <w:ind w:left="742" w:hanging="262"/>
      </w:pPr>
      <w:rPr>
        <w:rFonts w:ascii="Arial" w:eastAsia="Arial" w:hAnsi="Arial" w:cs="Arial"/>
        <w:position w:val="4"/>
      </w:rPr>
    </w:lvl>
    <w:lvl w:ilvl="3">
      <w:start w:val="1"/>
      <w:numFmt w:val="bullet"/>
      <w:lvlText w:val="-"/>
      <w:lvlJc w:val="left"/>
      <w:pPr>
        <w:tabs>
          <w:tab w:val="num" w:pos="982"/>
        </w:tabs>
        <w:ind w:left="982" w:hanging="262"/>
      </w:pPr>
      <w:rPr>
        <w:rFonts w:ascii="Arial" w:eastAsia="Arial" w:hAnsi="Arial" w:cs="Arial"/>
        <w:position w:val="4"/>
      </w:rPr>
    </w:lvl>
    <w:lvl w:ilvl="4">
      <w:start w:val="1"/>
      <w:numFmt w:val="bullet"/>
      <w:lvlText w:val="-"/>
      <w:lvlJc w:val="left"/>
      <w:pPr>
        <w:tabs>
          <w:tab w:val="num" w:pos="1222"/>
        </w:tabs>
        <w:ind w:left="1222" w:hanging="262"/>
      </w:pPr>
      <w:rPr>
        <w:rFonts w:ascii="Arial" w:eastAsia="Arial" w:hAnsi="Arial" w:cs="Arial"/>
        <w:position w:val="4"/>
      </w:rPr>
    </w:lvl>
    <w:lvl w:ilvl="5">
      <w:start w:val="1"/>
      <w:numFmt w:val="bullet"/>
      <w:lvlText w:val="-"/>
      <w:lvlJc w:val="left"/>
      <w:pPr>
        <w:tabs>
          <w:tab w:val="num" w:pos="1462"/>
        </w:tabs>
        <w:ind w:left="1462" w:hanging="262"/>
      </w:pPr>
      <w:rPr>
        <w:rFonts w:ascii="Arial" w:eastAsia="Arial" w:hAnsi="Arial" w:cs="Arial"/>
        <w:position w:val="4"/>
      </w:rPr>
    </w:lvl>
    <w:lvl w:ilvl="6">
      <w:start w:val="1"/>
      <w:numFmt w:val="bullet"/>
      <w:lvlText w:val="-"/>
      <w:lvlJc w:val="left"/>
      <w:pPr>
        <w:tabs>
          <w:tab w:val="num" w:pos="1702"/>
        </w:tabs>
        <w:ind w:left="1702" w:hanging="262"/>
      </w:pPr>
      <w:rPr>
        <w:rFonts w:ascii="Arial" w:eastAsia="Arial" w:hAnsi="Arial" w:cs="Arial"/>
        <w:position w:val="4"/>
      </w:rPr>
    </w:lvl>
    <w:lvl w:ilvl="7">
      <w:start w:val="1"/>
      <w:numFmt w:val="bullet"/>
      <w:lvlText w:val="-"/>
      <w:lvlJc w:val="left"/>
      <w:pPr>
        <w:tabs>
          <w:tab w:val="num" w:pos="1942"/>
        </w:tabs>
        <w:ind w:left="1942" w:hanging="262"/>
      </w:pPr>
      <w:rPr>
        <w:rFonts w:ascii="Arial" w:eastAsia="Arial" w:hAnsi="Arial" w:cs="Arial"/>
        <w:position w:val="4"/>
      </w:rPr>
    </w:lvl>
    <w:lvl w:ilvl="8">
      <w:start w:val="1"/>
      <w:numFmt w:val="bullet"/>
      <w:lvlText w:val="-"/>
      <w:lvlJc w:val="left"/>
      <w:pPr>
        <w:tabs>
          <w:tab w:val="num" w:pos="2182"/>
        </w:tabs>
        <w:ind w:left="2182" w:hanging="262"/>
      </w:pPr>
      <w:rPr>
        <w:rFonts w:ascii="Arial" w:eastAsia="Arial" w:hAnsi="Arial" w:cs="Arial"/>
        <w:position w:val="4"/>
      </w:rPr>
    </w:lvl>
  </w:abstractNum>
  <w:abstractNum w:abstractNumId="17" w15:restartNumberingAfterBreak="0">
    <w:nsid w:val="7C162F51"/>
    <w:multiLevelType w:val="multilevel"/>
    <w:tmpl w:val="E32ED98E"/>
    <w:lvl w:ilvl="0">
      <w:numFmt w:val="bullet"/>
      <w:lvlText w:val="-"/>
      <w:lvlJc w:val="left"/>
      <w:pPr>
        <w:tabs>
          <w:tab w:val="num" w:pos="262"/>
        </w:tabs>
        <w:ind w:left="262" w:hanging="262"/>
      </w:pPr>
      <w:rPr>
        <w:rFonts w:ascii="Arial" w:eastAsia="Arial" w:hAnsi="Arial" w:cs="Arial"/>
        <w:position w:val="4"/>
      </w:rPr>
    </w:lvl>
    <w:lvl w:ilvl="1">
      <w:start w:val="1"/>
      <w:numFmt w:val="bullet"/>
      <w:lvlText w:val="-"/>
      <w:lvlJc w:val="left"/>
      <w:pPr>
        <w:tabs>
          <w:tab w:val="num" w:pos="502"/>
        </w:tabs>
        <w:ind w:left="502" w:hanging="262"/>
      </w:pPr>
      <w:rPr>
        <w:rFonts w:ascii="Arial" w:eastAsia="Arial" w:hAnsi="Arial" w:cs="Arial"/>
        <w:position w:val="4"/>
      </w:rPr>
    </w:lvl>
    <w:lvl w:ilvl="2">
      <w:start w:val="1"/>
      <w:numFmt w:val="bullet"/>
      <w:lvlText w:val="-"/>
      <w:lvlJc w:val="left"/>
      <w:pPr>
        <w:tabs>
          <w:tab w:val="num" w:pos="742"/>
        </w:tabs>
        <w:ind w:left="742" w:hanging="262"/>
      </w:pPr>
      <w:rPr>
        <w:rFonts w:ascii="Arial" w:eastAsia="Arial" w:hAnsi="Arial" w:cs="Arial"/>
        <w:position w:val="4"/>
      </w:rPr>
    </w:lvl>
    <w:lvl w:ilvl="3">
      <w:start w:val="1"/>
      <w:numFmt w:val="bullet"/>
      <w:lvlText w:val="-"/>
      <w:lvlJc w:val="left"/>
      <w:pPr>
        <w:tabs>
          <w:tab w:val="num" w:pos="982"/>
        </w:tabs>
        <w:ind w:left="982" w:hanging="262"/>
      </w:pPr>
      <w:rPr>
        <w:rFonts w:ascii="Arial" w:eastAsia="Arial" w:hAnsi="Arial" w:cs="Arial"/>
        <w:position w:val="4"/>
      </w:rPr>
    </w:lvl>
    <w:lvl w:ilvl="4">
      <w:start w:val="1"/>
      <w:numFmt w:val="bullet"/>
      <w:lvlText w:val="-"/>
      <w:lvlJc w:val="left"/>
      <w:pPr>
        <w:tabs>
          <w:tab w:val="num" w:pos="1222"/>
        </w:tabs>
        <w:ind w:left="1222" w:hanging="262"/>
      </w:pPr>
      <w:rPr>
        <w:rFonts w:ascii="Arial" w:eastAsia="Arial" w:hAnsi="Arial" w:cs="Arial"/>
        <w:position w:val="4"/>
      </w:rPr>
    </w:lvl>
    <w:lvl w:ilvl="5">
      <w:start w:val="1"/>
      <w:numFmt w:val="bullet"/>
      <w:lvlText w:val="-"/>
      <w:lvlJc w:val="left"/>
      <w:pPr>
        <w:tabs>
          <w:tab w:val="num" w:pos="1462"/>
        </w:tabs>
        <w:ind w:left="1462" w:hanging="262"/>
      </w:pPr>
      <w:rPr>
        <w:rFonts w:ascii="Arial" w:eastAsia="Arial" w:hAnsi="Arial" w:cs="Arial"/>
        <w:position w:val="4"/>
      </w:rPr>
    </w:lvl>
    <w:lvl w:ilvl="6">
      <w:start w:val="1"/>
      <w:numFmt w:val="bullet"/>
      <w:lvlText w:val="-"/>
      <w:lvlJc w:val="left"/>
      <w:pPr>
        <w:tabs>
          <w:tab w:val="num" w:pos="1702"/>
        </w:tabs>
        <w:ind w:left="1702" w:hanging="262"/>
      </w:pPr>
      <w:rPr>
        <w:rFonts w:ascii="Arial" w:eastAsia="Arial" w:hAnsi="Arial" w:cs="Arial"/>
        <w:position w:val="4"/>
      </w:rPr>
    </w:lvl>
    <w:lvl w:ilvl="7">
      <w:start w:val="1"/>
      <w:numFmt w:val="bullet"/>
      <w:lvlText w:val="-"/>
      <w:lvlJc w:val="left"/>
      <w:pPr>
        <w:tabs>
          <w:tab w:val="num" w:pos="1942"/>
        </w:tabs>
        <w:ind w:left="1942" w:hanging="262"/>
      </w:pPr>
      <w:rPr>
        <w:rFonts w:ascii="Arial" w:eastAsia="Arial" w:hAnsi="Arial" w:cs="Arial"/>
        <w:position w:val="4"/>
      </w:rPr>
    </w:lvl>
    <w:lvl w:ilvl="8">
      <w:start w:val="1"/>
      <w:numFmt w:val="bullet"/>
      <w:lvlText w:val="-"/>
      <w:lvlJc w:val="left"/>
      <w:pPr>
        <w:tabs>
          <w:tab w:val="num" w:pos="2182"/>
        </w:tabs>
        <w:ind w:left="2182" w:hanging="262"/>
      </w:pPr>
      <w:rPr>
        <w:rFonts w:ascii="Arial" w:eastAsia="Arial" w:hAnsi="Arial" w:cs="Arial"/>
        <w:position w:val="4"/>
      </w:rPr>
    </w:lvl>
  </w:abstractNum>
  <w:abstractNum w:abstractNumId="18" w15:restartNumberingAfterBreak="0">
    <w:nsid w:val="7C33772B"/>
    <w:multiLevelType w:val="multilevel"/>
    <w:tmpl w:val="20D87E16"/>
    <w:lvl w:ilvl="0">
      <w:start w:val="1"/>
      <w:numFmt w:val="bullet"/>
      <w:lvlText w:val="-"/>
      <w:lvlJc w:val="left"/>
      <w:pPr>
        <w:tabs>
          <w:tab w:val="num" w:pos="720"/>
        </w:tabs>
        <w:ind w:left="72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Times New Roman" w:eastAsia="Times New Roman" w:hAnsi="Times New Roman" w:cs="Times New Roman"/>
        <w:b w:val="0"/>
        <w:bCs w:val="0"/>
        <w:i w:val="0"/>
        <w:iCs w:val="0"/>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abstractNum>
  <w:num w:numId="1">
    <w:abstractNumId w:val="12"/>
  </w:num>
  <w:num w:numId="2">
    <w:abstractNumId w:val="18"/>
  </w:num>
  <w:num w:numId="3">
    <w:abstractNumId w:val="8"/>
  </w:num>
  <w:num w:numId="4">
    <w:abstractNumId w:val="11"/>
  </w:num>
  <w:num w:numId="5">
    <w:abstractNumId w:val="5"/>
  </w:num>
  <w:num w:numId="6">
    <w:abstractNumId w:val="2"/>
  </w:num>
  <w:num w:numId="7">
    <w:abstractNumId w:val="6"/>
  </w:num>
  <w:num w:numId="8">
    <w:abstractNumId w:val="3"/>
  </w:num>
  <w:num w:numId="9">
    <w:abstractNumId w:val="16"/>
  </w:num>
  <w:num w:numId="10">
    <w:abstractNumId w:val="17"/>
  </w:num>
  <w:num w:numId="11">
    <w:abstractNumId w:val="14"/>
  </w:num>
  <w:num w:numId="12">
    <w:abstractNumId w:val="7"/>
  </w:num>
  <w:num w:numId="13">
    <w:abstractNumId w:val="10"/>
  </w:num>
  <w:num w:numId="14">
    <w:abstractNumId w:val="0"/>
  </w:num>
  <w:num w:numId="15">
    <w:abstractNumId w:val="1"/>
  </w:num>
  <w:num w:numId="16">
    <w:abstractNumId w:val="15"/>
  </w:num>
  <w:num w:numId="17">
    <w:abstractNumId w:val="9"/>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E7F"/>
    <w:rsid w:val="00007F20"/>
    <w:rsid w:val="000213D1"/>
    <w:rsid w:val="00245F4D"/>
    <w:rsid w:val="002A035A"/>
    <w:rsid w:val="004370CD"/>
    <w:rsid w:val="00471120"/>
    <w:rsid w:val="00543629"/>
    <w:rsid w:val="005954B7"/>
    <w:rsid w:val="00600403"/>
    <w:rsid w:val="00610834"/>
    <w:rsid w:val="006509A4"/>
    <w:rsid w:val="00663436"/>
    <w:rsid w:val="00733FFE"/>
    <w:rsid w:val="00743173"/>
    <w:rsid w:val="007B616B"/>
    <w:rsid w:val="00837807"/>
    <w:rsid w:val="0085734E"/>
    <w:rsid w:val="008E5000"/>
    <w:rsid w:val="00985E3E"/>
    <w:rsid w:val="00B70314"/>
    <w:rsid w:val="00BF2E7F"/>
    <w:rsid w:val="00C0386E"/>
    <w:rsid w:val="00CD5A7D"/>
    <w:rsid w:val="00D60DC3"/>
    <w:rsid w:val="00D764BF"/>
    <w:rsid w:val="00F807AA"/>
    <w:rsid w:val="00F81E22"/>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F220FE"/>
  <w15:docId w15:val="{7ECD842B-D165-4EE3-99FA-2F7C8D79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F2E7F"/>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BF2E7F"/>
    <w:rPr>
      <w:u w:val="single"/>
    </w:rPr>
  </w:style>
  <w:style w:type="table" w:customStyle="1" w:styleId="TableNormal">
    <w:name w:val="Table Normal"/>
    <w:rsid w:val="00BF2E7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MX"/>
    </w:rPr>
    <w:tblPr>
      <w:tblInd w:w="0" w:type="dxa"/>
      <w:tblCellMar>
        <w:top w:w="0" w:type="dxa"/>
        <w:left w:w="0" w:type="dxa"/>
        <w:bottom w:w="0" w:type="dxa"/>
        <w:right w:w="0" w:type="dxa"/>
      </w:tblCellMar>
    </w:tblPr>
  </w:style>
  <w:style w:type="paragraph" w:customStyle="1" w:styleId="Cabeceraypie">
    <w:name w:val="Cabecera y pie"/>
    <w:rsid w:val="00BF2E7F"/>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es-MX"/>
    </w:rPr>
  </w:style>
  <w:style w:type="paragraph" w:customStyle="1" w:styleId="CuerpoA">
    <w:name w:val="Cuerpo A"/>
    <w:rsid w:val="00BF2E7F"/>
    <w:pPr>
      <w:pBdr>
        <w:top w:val="nil"/>
        <w:left w:val="nil"/>
        <w:bottom w:val="nil"/>
        <w:right w:val="nil"/>
        <w:between w:val="nil"/>
        <w:bar w:val="nil"/>
      </w:pBdr>
      <w:spacing w:after="0" w:line="240" w:lineRule="auto"/>
    </w:pPr>
    <w:rPr>
      <w:rFonts w:ascii="Helvetica" w:eastAsia="Arial Unicode MS" w:hAnsi="Arial Unicode MS" w:cs="Arial Unicode MS"/>
      <w:color w:val="000000"/>
      <w:sz w:val="24"/>
      <w:szCs w:val="24"/>
      <w:u w:color="000000"/>
      <w:bdr w:val="nil"/>
      <w:lang w:val="es-ES_tradnl" w:eastAsia="es-MX"/>
    </w:rPr>
  </w:style>
  <w:style w:type="numbering" w:customStyle="1" w:styleId="List0">
    <w:name w:val="List 0"/>
    <w:basedOn w:val="Estiloimportado1"/>
    <w:rsid w:val="00BF2E7F"/>
    <w:pPr>
      <w:numPr>
        <w:numId w:val="8"/>
      </w:numPr>
    </w:pPr>
  </w:style>
  <w:style w:type="numbering" w:customStyle="1" w:styleId="Estiloimportado1">
    <w:name w:val="Estilo importado 1"/>
    <w:rsid w:val="00BF2E7F"/>
  </w:style>
  <w:style w:type="numbering" w:customStyle="1" w:styleId="Guin">
    <w:name w:val="Guión"/>
    <w:rsid w:val="00BF2E7F"/>
    <w:pPr>
      <w:numPr>
        <w:numId w:val="14"/>
      </w:numPr>
    </w:pPr>
  </w:style>
  <w:style w:type="character" w:customStyle="1" w:styleId="Ninguno">
    <w:name w:val="Ninguno"/>
    <w:rsid w:val="00BF2E7F"/>
    <w:rPr>
      <w:lang w:val="es-ES_tradnl"/>
    </w:rPr>
  </w:style>
  <w:style w:type="character" w:customStyle="1" w:styleId="Hyperlink0">
    <w:name w:val="Hyperlink.0"/>
    <w:basedOn w:val="Hipervnculo"/>
    <w:rsid w:val="00BF2E7F"/>
    <w:rPr>
      <w:u w:val="single"/>
    </w:rPr>
  </w:style>
  <w:style w:type="paragraph" w:styleId="Prrafodelista">
    <w:name w:val="List Paragraph"/>
    <w:basedOn w:val="Normal"/>
    <w:uiPriority w:val="34"/>
    <w:qFormat/>
    <w:rsid w:val="00C0386E"/>
    <w:pPr>
      <w:ind w:left="720"/>
      <w:contextualSpacing/>
    </w:pPr>
  </w:style>
  <w:style w:type="character" w:customStyle="1" w:styleId="ya-q-full-text">
    <w:name w:val="ya-q-full-text"/>
    <w:basedOn w:val="Fuentedeprrafopredeter"/>
    <w:rsid w:val="00985E3E"/>
  </w:style>
  <w:style w:type="paragraph" w:styleId="Textonotapie">
    <w:name w:val="footnote text"/>
    <w:basedOn w:val="Normal"/>
    <w:link w:val="TextonotapieCar"/>
    <w:uiPriority w:val="99"/>
    <w:unhideWhenUsed/>
    <w:rsid w:val="00985E3E"/>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color w:val="auto"/>
      <w:sz w:val="20"/>
      <w:szCs w:val="20"/>
      <w:bdr w:val="none" w:sz="0" w:space="0" w:color="auto"/>
      <w:lang w:val="es-MX"/>
    </w:rPr>
  </w:style>
  <w:style w:type="character" w:customStyle="1" w:styleId="TextonotapieCar">
    <w:name w:val="Texto nota pie Car"/>
    <w:basedOn w:val="Fuentedeprrafopredeter"/>
    <w:link w:val="Textonotapie"/>
    <w:uiPriority w:val="99"/>
    <w:rsid w:val="00985E3E"/>
    <w:rPr>
      <w:sz w:val="20"/>
      <w:szCs w:val="20"/>
    </w:rPr>
  </w:style>
  <w:style w:type="character" w:styleId="Refdenotaalpie">
    <w:name w:val="footnote reference"/>
    <w:basedOn w:val="Fuentedeprrafopredeter"/>
    <w:uiPriority w:val="99"/>
    <w:unhideWhenUsed/>
    <w:rsid w:val="00985E3E"/>
    <w:rPr>
      <w:vertAlign w:val="superscript"/>
    </w:rPr>
  </w:style>
  <w:style w:type="table" w:styleId="Tablaconcuadrcula">
    <w:name w:val="Table Grid"/>
    <w:basedOn w:val="Tablanormal"/>
    <w:uiPriority w:val="39"/>
    <w:rsid w:val="0054362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iedepgina">
    <w:name w:val="footer"/>
    <w:basedOn w:val="Normal"/>
    <w:link w:val="PiedepginaCar"/>
    <w:uiPriority w:val="99"/>
    <w:semiHidden/>
    <w:unhideWhenUsed/>
    <w:rsid w:val="00CD5A7D"/>
    <w:pPr>
      <w:tabs>
        <w:tab w:val="center" w:pos="4252"/>
        <w:tab w:val="right" w:pos="8504"/>
      </w:tabs>
    </w:pPr>
  </w:style>
  <w:style w:type="character" w:customStyle="1" w:styleId="PiedepginaCar">
    <w:name w:val="Pie de página Car"/>
    <w:basedOn w:val="Fuentedeprrafopredeter"/>
    <w:link w:val="Piedepgina"/>
    <w:uiPriority w:val="99"/>
    <w:semiHidden/>
    <w:rsid w:val="00CD5A7D"/>
    <w:rPr>
      <w:rFonts w:ascii="Times New Roman" w:eastAsia="Arial Unicode MS" w:hAnsi="Arial Unicode MS" w:cs="Arial Unicode MS"/>
      <w:color w:val="000000"/>
      <w:sz w:val="24"/>
      <w:szCs w:val="24"/>
      <w:u w:color="000000"/>
      <w:bdr w:val="nil"/>
      <w:lang w:val="es-ES_tradnl"/>
    </w:rPr>
  </w:style>
  <w:style w:type="character" w:styleId="Nmerodepgina">
    <w:name w:val="page number"/>
    <w:basedOn w:val="Fuentedeprrafopredeter"/>
    <w:uiPriority w:val="99"/>
    <w:semiHidden/>
    <w:unhideWhenUsed/>
    <w:rsid w:val="00CD5A7D"/>
  </w:style>
  <w:style w:type="paragraph" w:customStyle="1" w:styleId="Estilo">
    <w:name w:val="Estilo"/>
    <w:basedOn w:val="Sinespaciado"/>
    <w:link w:val="EstiloCar"/>
    <w:qFormat/>
    <w:rsid w:val="00837807"/>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Arial" w:eastAsiaTheme="minorHAnsi" w:hAnsi="Arial" w:cstheme="minorBidi"/>
      <w:color w:val="auto"/>
      <w:szCs w:val="22"/>
      <w:bdr w:val="none" w:sz="0" w:space="0" w:color="auto"/>
      <w:lang w:val="es-MX"/>
    </w:rPr>
  </w:style>
  <w:style w:type="character" w:customStyle="1" w:styleId="EstiloCar">
    <w:name w:val="Estilo Car"/>
    <w:basedOn w:val="Fuentedeprrafopredeter"/>
    <w:link w:val="Estilo"/>
    <w:rsid w:val="00837807"/>
    <w:rPr>
      <w:rFonts w:ascii="Arial" w:hAnsi="Arial"/>
      <w:sz w:val="24"/>
    </w:rPr>
  </w:style>
  <w:style w:type="paragraph" w:styleId="Sinespaciado">
    <w:name w:val="No Spacing"/>
    <w:uiPriority w:val="1"/>
    <w:qFormat/>
    <w:rsid w:val="0083780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ndex.php?title=Stefano_Bertolini&amp;action=edit&amp;redlink=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oaquin.narro@gmail.com" TargetMode="External"/><Relationship Id="rId4" Type="http://schemas.openxmlformats.org/officeDocument/2006/relationships/settings" Target="settings.xml"/><Relationship Id="rId9" Type="http://schemas.openxmlformats.org/officeDocument/2006/relationships/hyperlink" Target="https://es.wikipedia.org/wiki/Ram%C3%B3n_Cotarelo" TargetMode="Externa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41835-5A73-40B8-AF6F-7A77737F6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28</Pages>
  <Words>9074</Words>
  <Characters>49912</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IxelMendoza</dc:creator>
  <cp:keywords/>
  <dc:description/>
  <cp:lastModifiedBy>IxelMendoza</cp:lastModifiedBy>
  <cp:revision>3</cp:revision>
  <cp:lastPrinted>2020-08-22T15:39:00Z</cp:lastPrinted>
  <dcterms:created xsi:type="dcterms:W3CDTF">2020-08-24T22:47:00Z</dcterms:created>
  <dcterms:modified xsi:type="dcterms:W3CDTF">2020-08-24T23:23:00Z</dcterms:modified>
</cp:coreProperties>
</file>